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42"/>
        </w:tabs>
        <w:ind w:left="141" w:leftChars="67"/>
        <w:outlineLvl w:val="0"/>
        <w:rPr>
          <w:rFonts w:ascii="仿宋_GB2312" w:eastAsia="仿宋_GB2312"/>
          <w:b/>
          <w:sz w:val="30"/>
          <w:szCs w:val="30"/>
        </w:rPr>
      </w:pPr>
      <w:r>
        <w:rPr>
          <w:rFonts w:hint="eastAsia" w:ascii="仿宋_GB2312" w:eastAsia="仿宋_GB2312"/>
          <w:b/>
          <w:sz w:val="30"/>
          <w:szCs w:val="30"/>
        </w:rPr>
        <w:t xml:space="preserve">询价文件 </w:t>
      </w:r>
    </w:p>
    <w:p>
      <w:pPr>
        <w:pStyle w:val="19"/>
        <w:spacing w:before="1"/>
        <w:rPr>
          <w:rFonts w:ascii="仿宋" w:hAnsi="仿宋" w:eastAsia="仿宋" w:cs="仿宋"/>
        </w:rPr>
      </w:pPr>
      <w:r>
        <w:rPr>
          <w:rFonts w:hint="eastAsia" w:ascii="仿宋" w:hAnsi="仿宋" w:eastAsia="仿宋" w:cs="仿宋"/>
        </w:rPr>
        <w:t>网络安全运维服务项目采购需求</w:t>
      </w:r>
    </w:p>
    <w:p>
      <w:pPr>
        <w:ind w:firstLine="0"/>
        <w:rPr>
          <w:rFonts w:ascii="仿宋" w:hAnsi="仿宋" w:eastAsia="仿宋" w:cs="仿宋"/>
          <w:b/>
          <w:sz w:val="24"/>
          <w:szCs w:val="24"/>
        </w:rPr>
      </w:pPr>
      <w:bookmarkStart w:id="0" w:name="_Toc249850357"/>
      <w:bookmarkStart w:id="1" w:name="_Toc3318771"/>
      <w:r>
        <w:rPr>
          <w:rFonts w:hint="eastAsia" w:ascii="仿宋" w:hAnsi="仿宋" w:eastAsia="仿宋" w:cs="仿宋"/>
          <w:b/>
          <w:sz w:val="24"/>
          <w:szCs w:val="24"/>
        </w:rPr>
        <w:t>一、项目概况</w:t>
      </w:r>
      <w:bookmarkEnd w:id="0"/>
      <w:bookmarkStart w:id="2" w:name="_Toc3371579"/>
      <w:bookmarkStart w:id="3" w:name="_Toc904420214"/>
    </w:p>
    <w:p>
      <w:pPr>
        <w:ind w:firstLine="0"/>
        <w:rPr>
          <w:rFonts w:ascii="仿宋" w:hAnsi="仿宋" w:eastAsia="仿宋" w:cs="仿宋"/>
          <w:b/>
          <w:sz w:val="24"/>
          <w:szCs w:val="24"/>
        </w:rPr>
      </w:pPr>
      <w:r>
        <w:rPr>
          <w:rFonts w:hint="eastAsia" w:ascii="仿宋" w:hAnsi="仿宋" w:eastAsia="仿宋" w:cs="仿宋"/>
          <w:sz w:val="24"/>
          <w:szCs w:val="24"/>
        </w:rPr>
        <w:t>1、项目名称</w:t>
      </w:r>
      <w:bookmarkEnd w:id="2"/>
      <w:bookmarkEnd w:id="3"/>
    </w:p>
    <w:p>
      <w:pPr>
        <w:ind w:firstLine="480" w:firstLineChars="200"/>
        <w:jc w:val="left"/>
        <w:rPr>
          <w:rFonts w:ascii="仿宋" w:hAnsi="仿宋" w:eastAsia="仿宋" w:cs="仿宋"/>
          <w:sz w:val="24"/>
          <w:szCs w:val="24"/>
        </w:rPr>
      </w:pPr>
      <w:r>
        <w:rPr>
          <w:rFonts w:hint="eastAsia" w:ascii="仿宋" w:hAnsi="仿宋" w:eastAsia="仿宋" w:cs="仿宋"/>
          <w:sz w:val="24"/>
          <w:szCs w:val="24"/>
        </w:rPr>
        <w:t>黄石市住房公积金中心网络安全运维服务项目</w:t>
      </w:r>
      <w:bookmarkStart w:id="4" w:name="_Toc701283232"/>
    </w:p>
    <w:p>
      <w:pPr>
        <w:ind w:firstLine="0"/>
        <w:jc w:val="left"/>
        <w:rPr>
          <w:rFonts w:ascii="仿宋" w:hAnsi="仿宋" w:eastAsia="仿宋" w:cs="仿宋"/>
          <w:sz w:val="24"/>
          <w:szCs w:val="24"/>
        </w:rPr>
      </w:pPr>
      <w:r>
        <w:rPr>
          <w:rFonts w:hint="eastAsia" w:ascii="仿宋" w:hAnsi="仿宋" w:eastAsia="仿宋" w:cs="仿宋"/>
          <w:sz w:val="24"/>
          <w:szCs w:val="24"/>
        </w:rPr>
        <w:t>2、项目背景</w:t>
      </w:r>
      <w:bookmarkEnd w:id="1"/>
      <w:bookmarkEnd w:id="4"/>
    </w:p>
    <w:p>
      <w:pPr>
        <w:ind w:firstLine="480" w:firstLineChars="200"/>
        <w:jc w:val="left"/>
        <w:rPr>
          <w:rFonts w:ascii="仿宋" w:hAnsi="仿宋" w:eastAsia="仿宋" w:cs="仿宋"/>
          <w:sz w:val="24"/>
          <w:szCs w:val="24"/>
        </w:rPr>
      </w:pPr>
      <w:r>
        <w:rPr>
          <w:rFonts w:hint="eastAsia" w:ascii="仿宋" w:hAnsi="仿宋" w:eastAsia="仿宋" w:cs="仿宋"/>
          <w:sz w:val="24"/>
          <w:szCs w:val="24"/>
        </w:rPr>
        <w:t>2017年6月1日，《中华人民共和国网络安全法》正式颁布施行，明确要求对关键信息基础设施实行重点保护。规定“应当按照网络安全等级保护制度的要求，履行下列安全保护义务，保障网络免受干扰、破坏或者未经授权的访问，防止网络数据泄露或者被窃取、篡改”，“建设关键信息基础设施应当确保其具有支持业务稳定、持续运行的性能，并保证安全技术措施同步规划、同步建设、同步使用”。</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2017年7月11日，《关键信息基础设施安全保护条例(征求意见稿)》正式公布征求意见，从支持与保障、关键信息基础设施范围、运营者安全保护、产品和服务安全、监测预警、应急处置和检测评估、法律责任等诸多方面，对于关键信息基础设施保护相关的一系列制度要素作了更为具体的规定。 </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黄石市住房公积金中心部署大量的信息资产，信息系统群庞大，信息安全管理层面复杂。因此，需要充分考虑可能面临的各类安全风险，建立健全网络安全管理机制和完善的信息安全管理体系，指导和监督安全建设和运维过程中对风险的控制，以确保信息系统安全、稳定、高效的运行。</w:t>
      </w:r>
      <w:bookmarkStart w:id="5" w:name="_Toc3318775"/>
      <w:bookmarkStart w:id="6" w:name="_Toc3318772"/>
      <w:bookmarkStart w:id="7" w:name="_Toc466729079"/>
    </w:p>
    <w:p>
      <w:pPr>
        <w:ind w:firstLine="480" w:firstLineChars="200"/>
        <w:jc w:val="left"/>
        <w:rPr>
          <w:rFonts w:ascii="仿宋" w:hAnsi="仿宋" w:eastAsia="仿宋" w:cs="仿宋"/>
          <w:sz w:val="24"/>
          <w:szCs w:val="24"/>
        </w:rPr>
      </w:pPr>
      <w:r>
        <w:rPr>
          <w:rFonts w:hint="eastAsia" w:ascii="仿宋" w:hAnsi="仿宋" w:eastAsia="仿宋" w:cs="仿宋"/>
          <w:sz w:val="24"/>
          <w:szCs w:val="24"/>
        </w:rPr>
        <w:t>本项目通过采购第三方的网络与信息安全保障服务，确保客户在服务期内加强网络安全整体保障，提升网络安全防护水平，严格排查安全漏洞隐患，不发生重大网络安全和信息安全事件，各类信息系统和网络安全正常运行，目标系统得到有效保护。</w:t>
      </w:r>
      <w:bookmarkStart w:id="8" w:name="_Toc1077025488"/>
    </w:p>
    <w:p>
      <w:pPr>
        <w:ind w:firstLine="0"/>
        <w:jc w:val="left"/>
        <w:rPr>
          <w:rFonts w:ascii="仿宋" w:hAnsi="仿宋" w:eastAsia="仿宋" w:cs="仿宋"/>
          <w:sz w:val="24"/>
          <w:szCs w:val="24"/>
        </w:rPr>
      </w:pPr>
      <w:r>
        <w:rPr>
          <w:rFonts w:hint="eastAsia" w:ascii="仿宋" w:hAnsi="仿宋" w:eastAsia="仿宋" w:cs="仿宋"/>
          <w:sz w:val="24"/>
          <w:szCs w:val="24"/>
        </w:rPr>
        <w:t>3、服务范围</w:t>
      </w:r>
      <w:bookmarkEnd w:id="5"/>
      <w:bookmarkEnd w:id="8"/>
    </w:p>
    <w:p>
      <w:pPr>
        <w:ind w:firstLine="480" w:firstLineChars="200"/>
        <w:jc w:val="left"/>
        <w:rPr>
          <w:rFonts w:ascii="仿宋" w:hAnsi="仿宋" w:eastAsia="仿宋" w:cs="仿宋"/>
          <w:sz w:val="24"/>
          <w:szCs w:val="24"/>
        </w:rPr>
      </w:pPr>
      <w:r>
        <w:rPr>
          <w:rFonts w:hint="eastAsia" w:ascii="仿宋" w:hAnsi="仿宋" w:eastAsia="仿宋" w:cs="仿宋"/>
          <w:sz w:val="24"/>
          <w:szCs w:val="24"/>
        </w:rPr>
        <w:t>本次保障范围涉黄石市住房公积金中心单位网络安全。</w:t>
      </w:r>
      <w:bookmarkEnd w:id="6"/>
      <w:bookmarkStart w:id="9" w:name="_Toc3318774"/>
      <w:bookmarkStart w:id="10" w:name="_Toc427716253"/>
    </w:p>
    <w:p>
      <w:pPr>
        <w:ind w:firstLine="0"/>
        <w:rPr>
          <w:rFonts w:ascii="仿宋" w:hAnsi="仿宋" w:eastAsia="仿宋" w:cs="仿宋"/>
          <w:sz w:val="24"/>
          <w:szCs w:val="24"/>
        </w:rPr>
      </w:pPr>
      <w:r>
        <w:rPr>
          <w:rFonts w:hint="eastAsia" w:ascii="仿宋" w:hAnsi="仿宋" w:eastAsia="仿宋" w:cs="仿宋"/>
          <w:sz w:val="24"/>
          <w:szCs w:val="24"/>
        </w:rPr>
        <w:t>4、服务目标</w:t>
      </w:r>
      <w:bookmarkEnd w:id="9"/>
      <w:bookmarkEnd w:id="10"/>
    </w:p>
    <w:p>
      <w:pPr>
        <w:ind w:firstLine="0"/>
        <w:rPr>
          <w:rFonts w:ascii="仿宋" w:hAnsi="仿宋" w:eastAsia="仿宋" w:cs="仿宋"/>
          <w:sz w:val="24"/>
          <w:szCs w:val="24"/>
        </w:rPr>
      </w:pPr>
      <w:r>
        <w:rPr>
          <w:rFonts w:hint="eastAsia" w:ascii="仿宋" w:hAnsi="仿宋" w:eastAsia="仿宋" w:cs="仿宋"/>
          <w:sz w:val="24"/>
          <w:szCs w:val="24"/>
        </w:rPr>
        <w:t xml:space="preserve">    总体目标：提升安全管理水平、补强安全“短板”、提高网络安全事件应急恢复能力，努力实现安全防护水平由被动防御到主动发现的转变，做到网络与信息安全态势可感知、安全事件可预警。</w:t>
      </w:r>
      <w:bookmarkEnd w:id="7"/>
      <w:bookmarkStart w:id="11" w:name="_Toc999297662"/>
      <w:bookmarkStart w:id="12" w:name="_Toc3318776"/>
      <w:bookmarkStart w:id="13" w:name="_Toc520228003"/>
      <w:bookmarkStart w:id="14" w:name="_Hlk520215451"/>
    </w:p>
    <w:p>
      <w:pPr>
        <w:ind w:firstLine="0"/>
        <w:rPr>
          <w:rFonts w:ascii="仿宋" w:hAnsi="仿宋" w:eastAsia="仿宋" w:cs="仿宋"/>
          <w:sz w:val="24"/>
          <w:szCs w:val="24"/>
        </w:rPr>
      </w:pPr>
      <w:r>
        <w:rPr>
          <w:rFonts w:hint="eastAsia" w:ascii="仿宋" w:hAnsi="仿宋" w:eastAsia="仿宋" w:cs="仿宋"/>
          <w:sz w:val="24"/>
          <w:szCs w:val="24"/>
        </w:rPr>
        <w:t>5、服务周期</w:t>
      </w:r>
      <w:bookmarkEnd w:id="11"/>
      <w:bookmarkEnd w:id="12"/>
    </w:p>
    <w:p>
      <w:pPr>
        <w:ind w:firstLine="0"/>
        <w:rPr>
          <w:rFonts w:ascii="仿宋" w:hAnsi="仿宋" w:eastAsia="仿宋" w:cs="仿宋"/>
          <w:sz w:val="24"/>
          <w:szCs w:val="24"/>
        </w:rPr>
      </w:pPr>
      <w:bookmarkStart w:id="15" w:name="_Hlk3373354"/>
      <w:r>
        <w:rPr>
          <w:rFonts w:hint="eastAsia" w:ascii="仿宋" w:hAnsi="仿宋" w:eastAsia="仿宋" w:cs="仿宋"/>
          <w:sz w:val="24"/>
          <w:szCs w:val="24"/>
        </w:rPr>
        <w:t xml:space="preserve">    自合同签订生效日起算两年服务期</w:t>
      </w:r>
      <w:bookmarkEnd w:id="15"/>
      <w:r>
        <w:rPr>
          <w:rFonts w:hint="eastAsia" w:ascii="仿宋" w:hAnsi="仿宋" w:eastAsia="仿宋" w:cs="仿宋"/>
          <w:sz w:val="24"/>
          <w:szCs w:val="24"/>
        </w:rPr>
        <w:t>。</w:t>
      </w:r>
      <w:bookmarkEnd w:id="13"/>
      <w:bookmarkEnd w:id="14"/>
      <w:bookmarkStart w:id="16" w:name="_Toc3318778"/>
      <w:bookmarkStart w:id="17" w:name="_Toc520228045"/>
      <w:bookmarkStart w:id="18" w:name="_Toc1873685694"/>
      <w:bookmarkStart w:id="19" w:name="_Toc517779291"/>
    </w:p>
    <w:p>
      <w:pPr>
        <w:ind w:firstLine="0"/>
        <w:rPr>
          <w:rFonts w:ascii="仿宋" w:hAnsi="仿宋" w:eastAsia="仿宋" w:cs="仿宋"/>
          <w:b/>
          <w:sz w:val="24"/>
          <w:szCs w:val="24"/>
        </w:rPr>
      </w:pPr>
      <w:r>
        <w:rPr>
          <w:rFonts w:hint="eastAsia" w:ascii="仿宋" w:hAnsi="仿宋" w:eastAsia="仿宋" w:cs="仿宋"/>
          <w:b/>
          <w:sz w:val="24"/>
          <w:szCs w:val="24"/>
        </w:rPr>
        <w:t>二、网络安全运维服务内容</w:t>
      </w:r>
      <w:bookmarkEnd w:id="16"/>
      <w:bookmarkEnd w:id="17"/>
      <w:bookmarkEnd w:id="18"/>
      <w:bookmarkEnd w:id="19"/>
      <w:bookmarkStart w:id="20" w:name="_Toc335259450"/>
    </w:p>
    <w:p>
      <w:pPr>
        <w:ind w:firstLine="0"/>
        <w:rPr>
          <w:rFonts w:ascii="仿宋" w:hAnsi="仿宋" w:eastAsia="仿宋" w:cs="仿宋"/>
          <w:sz w:val="24"/>
          <w:szCs w:val="24"/>
        </w:rPr>
      </w:pPr>
      <w:r>
        <w:rPr>
          <w:rFonts w:hint="eastAsia" w:ascii="仿宋" w:hAnsi="仿宋" w:eastAsia="仿宋" w:cs="仿宋"/>
          <w:sz w:val="24"/>
          <w:szCs w:val="24"/>
        </w:rPr>
        <w:t>（一）安全巡检服务</w:t>
      </w:r>
      <w:bookmarkEnd w:id="20"/>
      <w:bookmarkStart w:id="21" w:name="_Toc17065"/>
      <w:bookmarkStart w:id="22" w:name="_Toc1855970069"/>
    </w:p>
    <w:p>
      <w:pPr>
        <w:ind w:firstLine="0"/>
        <w:rPr>
          <w:rFonts w:ascii="仿宋" w:hAnsi="仿宋" w:eastAsia="仿宋" w:cs="仿宋"/>
          <w:sz w:val="24"/>
          <w:szCs w:val="24"/>
        </w:rPr>
      </w:pPr>
      <w:r>
        <w:rPr>
          <w:rFonts w:hint="eastAsia" w:ascii="仿宋" w:hAnsi="仿宋" w:eastAsia="仿宋" w:cs="仿宋"/>
          <w:sz w:val="24"/>
          <w:szCs w:val="24"/>
        </w:rPr>
        <w:t>1、服务内容</w:t>
      </w:r>
      <w:bookmarkEnd w:id="21"/>
      <w:bookmarkEnd w:id="22"/>
    </w:p>
    <w:p>
      <w:pPr>
        <w:ind w:firstLine="0"/>
        <w:rPr>
          <w:rFonts w:ascii="仿宋" w:hAnsi="仿宋" w:eastAsia="仿宋" w:cs="仿宋"/>
          <w:sz w:val="24"/>
          <w:szCs w:val="24"/>
        </w:rPr>
      </w:pPr>
      <w:r>
        <w:rPr>
          <w:rFonts w:hint="eastAsia" w:ascii="仿宋" w:hAnsi="仿宋" w:eastAsia="仿宋" w:cs="仿宋"/>
          <w:sz w:val="24"/>
          <w:szCs w:val="24"/>
        </w:rPr>
        <w:t xml:space="preserve">    安全巡检作为主动运维的一种手段，将主动发现安全隐患来代替被动解决安全问题，极大的提高信息系统的安全防护水平。</w:t>
      </w:r>
    </w:p>
    <w:p>
      <w:pPr>
        <w:ind w:firstLine="0"/>
        <w:rPr>
          <w:rFonts w:ascii="仿宋" w:hAnsi="仿宋" w:eastAsia="仿宋" w:cs="仿宋"/>
          <w:sz w:val="24"/>
          <w:szCs w:val="24"/>
        </w:rPr>
      </w:pPr>
      <w:r>
        <w:rPr>
          <w:rFonts w:hint="eastAsia" w:ascii="仿宋" w:hAnsi="仿宋" w:eastAsia="仿宋" w:cs="仿宋"/>
          <w:sz w:val="24"/>
          <w:szCs w:val="24"/>
        </w:rPr>
        <w:t xml:space="preserve">    定期对客户信息系统中包括安全设备进行全面地安全巡检，主要内容包括安全设备状态检查、安全设备配置检查、设备升级更新等。</w:t>
      </w:r>
      <w:bookmarkStart w:id="23" w:name="_Toc1088977008"/>
    </w:p>
    <w:p>
      <w:pPr>
        <w:ind w:firstLine="0"/>
        <w:rPr>
          <w:rFonts w:ascii="仿宋" w:hAnsi="仿宋" w:eastAsia="仿宋" w:cs="仿宋"/>
          <w:sz w:val="24"/>
          <w:szCs w:val="24"/>
        </w:rPr>
      </w:pPr>
      <w:r>
        <w:rPr>
          <w:rFonts w:hint="eastAsia" w:ascii="仿宋" w:hAnsi="仿宋" w:eastAsia="仿宋" w:cs="仿宋"/>
          <w:sz w:val="24"/>
          <w:szCs w:val="24"/>
        </w:rPr>
        <w:t>2、服务周期</w:t>
      </w:r>
      <w:bookmarkEnd w:id="23"/>
    </w:p>
    <w:p>
      <w:pPr>
        <w:ind w:firstLine="0"/>
        <w:rPr>
          <w:rFonts w:ascii="仿宋" w:hAnsi="仿宋" w:eastAsia="仿宋" w:cs="仿宋"/>
          <w:sz w:val="24"/>
          <w:szCs w:val="24"/>
        </w:rPr>
      </w:pPr>
      <w:r>
        <w:rPr>
          <w:rFonts w:hint="eastAsia" w:ascii="仿宋" w:hAnsi="仿宋" w:eastAsia="仿宋" w:cs="仿宋"/>
          <w:sz w:val="24"/>
          <w:szCs w:val="24"/>
        </w:rPr>
        <w:t xml:space="preserve">    安全巡检服务周期每月1次，一年12次。</w:t>
      </w:r>
      <w:bookmarkStart w:id="24" w:name="_Toc1580933722"/>
      <w:bookmarkStart w:id="25" w:name="_Toc1264"/>
    </w:p>
    <w:p>
      <w:pPr>
        <w:ind w:firstLine="0"/>
        <w:rPr>
          <w:rFonts w:ascii="仿宋" w:hAnsi="仿宋" w:eastAsia="仿宋" w:cs="仿宋"/>
          <w:sz w:val="24"/>
          <w:szCs w:val="24"/>
        </w:rPr>
      </w:pPr>
      <w:r>
        <w:rPr>
          <w:rFonts w:hint="eastAsia" w:ascii="仿宋" w:hAnsi="仿宋" w:eastAsia="仿宋" w:cs="仿宋"/>
          <w:sz w:val="24"/>
          <w:szCs w:val="24"/>
        </w:rPr>
        <w:t>3、成果交付</w:t>
      </w:r>
      <w:bookmarkEnd w:id="24"/>
      <w:bookmarkEnd w:id="25"/>
    </w:p>
    <w:p>
      <w:pPr>
        <w:ind w:firstLine="0"/>
        <w:rPr>
          <w:rFonts w:ascii="仿宋" w:hAnsi="仿宋" w:eastAsia="仿宋" w:cs="仿宋"/>
          <w:sz w:val="24"/>
          <w:szCs w:val="24"/>
        </w:rPr>
      </w:pPr>
      <w:r>
        <w:rPr>
          <w:rFonts w:hint="eastAsia" w:ascii="仿宋" w:hAnsi="仿宋" w:eastAsia="仿宋" w:cs="仿宋"/>
          <w:sz w:val="24"/>
          <w:szCs w:val="24"/>
        </w:rPr>
        <w:t xml:space="preserve">    定期提供安全设备巡检服务，在项目实施过程中，提交完整的阶段交付物，交付物包括但不限于以下文档：</w:t>
      </w:r>
    </w:p>
    <w:p>
      <w:pPr>
        <w:ind w:firstLine="0"/>
        <w:rPr>
          <w:rFonts w:ascii="仿宋" w:hAnsi="仿宋" w:eastAsia="仿宋" w:cs="仿宋"/>
          <w:sz w:val="24"/>
          <w:szCs w:val="24"/>
        </w:rPr>
      </w:pPr>
      <w:r>
        <w:rPr>
          <w:rFonts w:hint="eastAsia" w:ascii="仿宋" w:hAnsi="仿宋" w:eastAsia="仿宋" w:cs="仿宋"/>
          <w:sz w:val="24"/>
          <w:szCs w:val="24"/>
        </w:rPr>
        <w:t xml:space="preserve">    《安全设备巡检报告》。</w:t>
      </w:r>
      <w:bookmarkStart w:id="26" w:name="_Toc2085384970"/>
    </w:p>
    <w:p>
      <w:pPr>
        <w:ind w:firstLine="0"/>
        <w:rPr>
          <w:rFonts w:ascii="仿宋" w:hAnsi="仿宋" w:eastAsia="仿宋" w:cs="仿宋"/>
          <w:sz w:val="24"/>
          <w:szCs w:val="24"/>
        </w:rPr>
      </w:pPr>
      <w:r>
        <w:rPr>
          <w:rFonts w:hint="eastAsia" w:ascii="仿宋" w:hAnsi="仿宋" w:eastAsia="仿宋" w:cs="仿宋"/>
          <w:sz w:val="24"/>
          <w:szCs w:val="24"/>
        </w:rPr>
        <w:t>（二）重保值守服务</w:t>
      </w:r>
      <w:bookmarkEnd w:id="26"/>
    </w:p>
    <w:p>
      <w:pPr>
        <w:ind w:firstLine="0"/>
        <w:rPr>
          <w:rFonts w:ascii="仿宋" w:hAnsi="仿宋" w:eastAsia="仿宋" w:cs="仿宋"/>
          <w:sz w:val="24"/>
          <w:szCs w:val="24"/>
        </w:rPr>
      </w:pPr>
      <w:bookmarkStart w:id="27" w:name="_Toc2132071750"/>
      <w:r>
        <w:rPr>
          <w:rFonts w:hint="eastAsia" w:ascii="仿宋" w:hAnsi="仿宋" w:eastAsia="仿宋" w:cs="仿宋"/>
          <w:sz w:val="24"/>
          <w:szCs w:val="24"/>
        </w:rPr>
        <w:t>1、服务内容</w:t>
      </w:r>
      <w:bookmarkEnd w:id="27"/>
    </w:p>
    <w:p>
      <w:pPr>
        <w:ind w:firstLine="0"/>
        <w:rPr>
          <w:rFonts w:ascii="仿宋" w:hAnsi="仿宋" w:eastAsia="仿宋" w:cs="仿宋"/>
          <w:sz w:val="24"/>
          <w:szCs w:val="24"/>
        </w:rPr>
      </w:pPr>
      <w:r>
        <w:rPr>
          <w:rFonts w:hint="eastAsia" w:ascii="仿宋" w:hAnsi="仿宋" w:eastAsia="仿宋" w:cs="仿宋"/>
          <w:sz w:val="24"/>
          <w:szCs w:val="24"/>
        </w:rPr>
        <w:t xml:space="preserve">    重保期间，为能及时对监测到的各种告警信息进行分析，出现异常事件及时决策和处置，将派遣具有丰富的入侵分析和应急处置经验的高级安全专家进行现场5*8值守。</w:t>
      </w:r>
    </w:p>
    <w:p>
      <w:pPr>
        <w:ind w:firstLine="0"/>
        <w:rPr>
          <w:rFonts w:ascii="仿宋" w:hAnsi="仿宋" w:eastAsia="仿宋" w:cs="仿宋"/>
          <w:sz w:val="24"/>
          <w:szCs w:val="24"/>
        </w:rPr>
      </w:pPr>
      <w:r>
        <w:rPr>
          <w:rFonts w:hint="eastAsia" w:ascii="仿宋" w:hAnsi="仿宋" w:eastAsia="仿宋" w:cs="仿宋"/>
          <w:sz w:val="24"/>
          <w:szCs w:val="24"/>
        </w:rPr>
        <w:t xml:space="preserve">    通过对相关事件告警信息进行分析，提供抑制手段，入侵威胁清除，排查攻击路径，恶意文件清除，还原攻击路径，分析入侵事件原因，结合现有安全防御体系，进行指导安全加固、提供整改建议、防止重保期间出现安全事件。</w:t>
      </w:r>
    </w:p>
    <w:p>
      <w:pPr>
        <w:ind w:firstLine="0"/>
        <w:rPr>
          <w:rFonts w:ascii="仿宋" w:hAnsi="仿宋" w:eastAsia="仿宋" w:cs="仿宋"/>
          <w:sz w:val="24"/>
          <w:szCs w:val="24"/>
        </w:rPr>
      </w:pPr>
      <w:r>
        <w:rPr>
          <w:rFonts w:hint="eastAsia" w:ascii="仿宋" w:hAnsi="仿宋" w:eastAsia="仿宋" w:cs="仿宋"/>
          <w:sz w:val="24"/>
          <w:szCs w:val="24"/>
        </w:rPr>
        <w:t>现场安全值守工作主要包括如下方面工作：</w:t>
      </w:r>
    </w:p>
    <w:p>
      <w:pPr>
        <w:ind w:firstLine="0"/>
        <w:rPr>
          <w:rFonts w:ascii="仿宋" w:hAnsi="仿宋" w:eastAsia="仿宋" w:cs="仿宋"/>
          <w:sz w:val="24"/>
          <w:szCs w:val="24"/>
        </w:rPr>
      </w:pPr>
      <w:r>
        <w:rPr>
          <w:rFonts w:hint="eastAsia" w:ascii="仿宋" w:hAnsi="仿宋" w:eastAsia="仿宋" w:cs="仿宋"/>
          <w:sz w:val="24"/>
          <w:szCs w:val="24"/>
        </w:rPr>
        <w:t>1）、安全设备日常监控</w:t>
      </w:r>
    </w:p>
    <w:p>
      <w:pPr>
        <w:ind w:firstLine="0"/>
        <w:rPr>
          <w:rFonts w:ascii="仿宋" w:hAnsi="仿宋" w:eastAsia="仿宋" w:cs="仿宋"/>
          <w:sz w:val="24"/>
          <w:szCs w:val="24"/>
        </w:rPr>
      </w:pPr>
      <w:r>
        <w:rPr>
          <w:rFonts w:hint="eastAsia" w:ascii="仿宋" w:hAnsi="仿宋" w:eastAsia="仿宋" w:cs="仿宋"/>
          <w:sz w:val="24"/>
          <w:szCs w:val="24"/>
        </w:rPr>
        <w:t xml:space="preserve">    安全设备健康情况实时监控，包含：CPU使用率、内存占用率、接口流量、接口工作状态、硬盘使用情况等设备健康相关的基本参数监控。</w:t>
      </w:r>
    </w:p>
    <w:p>
      <w:pPr>
        <w:ind w:firstLine="0"/>
        <w:rPr>
          <w:rFonts w:ascii="仿宋" w:hAnsi="仿宋" w:eastAsia="仿宋" w:cs="仿宋"/>
          <w:sz w:val="24"/>
          <w:szCs w:val="24"/>
        </w:rPr>
      </w:pPr>
      <w:r>
        <w:rPr>
          <w:rFonts w:hint="eastAsia" w:ascii="仿宋" w:hAnsi="仿宋" w:eastAsia="仿宋" w:cs="仿宋"/>
          <w:sz w:val="24"/>
          <w:szCs w:val="24"/>
        </w:rPr>
        <w:t>安全设备告警事件实时监控，包含：拒绝服务攻击，网络病毒爆发，漏洞远程利用、恶意代码传递等高危事件告警信息。</w:t>
      </w:r>
    </w:p>
    <w:p>
      <w:pPr>
        <w:ind w:firstLine="0"/>
        <w:rPr>
          <w:rFonts w:ascii="仿宋" w:hAnsi="仿宋" w:eastAsia="仿宋" w:cs="仿宋"/>
          <w:sz w:val="24"/>
          <w:szCs w:val="24"/>
        </w:rPr>
      </w:pPr>
      <w:r>
        <w:rPr>
          <w:rFonts w:hint="eastAsia" w:ascii="仿宋" w:hAnsi="仿宋" w:eastAsia="仿宋" w:cs="仿宋"/>
          <w:sz w:val="24"/>
          <w:szCs w:val="24"/>
        </w:rPr>
        <w:t>2）、安全事件协助处理</w:t>
      </w:r>
    </w:p>
    <w:p>
      <w:pPr>
        <w:ind w:firstLine="0"/>
        <w:rPr>
          <w:rFonts w:ascii="仿宋" w:hAnsi="仿宋" w:eastAsia="仿宋" w:cs="仿宋"/>
          <w:sz w:val="24"/>
          <w:szCs w:val="24"/>
        </w:rPr>
      </w:pPr>
      <w:r>
        <w:rPr>
          <w:rFonts w:hint="eastAsia" w:ascii="仿宋" w:hAnsi="仿宋" w:eastAsia="仿宋" w:cs="仿宋"/>
          <w:sz w:val="24"/>
          <w:szCs w:val="24"/>
        </w:rPr>
        <w:t xml:space="preserve">    当安全设备产生高危事件报警时，信息安全专家将积极协助用户相关人员对报警事件进行确定、排查、分析和处理。</w:t>
      </w:r>
      <w:bookmarkStart w:id="28" w:name="_Toc817768408"/>
    </w:p>
    <w:p>
      <w:pPr>
        <w:ind w:firstLine="0"/>
        <w:rPr>
          <w:rFonts w:ascii="仿宋" w:hAnsi="仿宋" w:eastAsia="仿宋" w:cs="仿宋"/>
          <w:sz w:val="24"/>
          <w:szCs w:val="24"/>
        </w:rPr>
      </w:pPr>
      <w:r>
        <w:rPr>
          <w:rFonts w:hint="eastAsia" w:ascii="仿宋" w:hAnsi="仿宋" w:eastAsia="仿宋" w:cs="仿宋"/>
          <w:sz w:val="24"/>
          <w:szCs w:val="24"/>
        </w:rPr>
        <w:t>2、服务周期</w:t>
      </w:r>
      <w:bookmarkEnd w:id="28"/>
    </w:p>
    <w:p>
      <w:pPr>
        <w:ind w:firstLine="0"/>
        <w:rPr>
          <w:rFonts w:ascii="仿宋" w:hAnsi="仿宋" w:eastAsia="仿宋" w:cs="仿宋"/>
          <w:sz w:val="24"/>
          <w:szCs w:val="24"/>
        </w:rPr>
      </w:pPr>
      <w:r>
        <w:rPr>
          <w:rFonts w:hint="eastAsia" w:ascii="仿宋" w:hAnsi="仿宋" w:eastAsia="仿宋" w:cs="仿宋"/>
          <w:sz w:val="24"/>
          <w:szCs w:val="24"/>
        </w:rPr>
        <w:t xml:space="preserve">    重保值守服务每年</w:t>
      </w:r>
      <w:r>
        <w:rPr>
          <w:rFonts w:ascii="仿宋" w:hAnsi="仿宋" w:eastAsia="仿宋" w:cs="仿宋"/>
          <w:sz w:val="24"/>
          <w:szCs w:val="24"/>
        </w:rPr>
        <w:t>保障</w:t>
      </w:r>
      <w:r>
        <w:rPr>
          <w:rFonts w:hint="eastAsia" w:ascii="仿宋" w:hAnsi="仿宋" w:eastAsia="仿宋" w:cs="仿宋"/>
          <w:sz w:val="24"/>
          <w:szCs w:val="24"/>
        </w:rPr>
        <w:t>不少于3次。</w:t>
      </w:r>
      <w:bookmarkStart w:id="29" w:name="_Toc338292456"/>
    </w:p>
    <w:p>
      <w:pPr>
        <w:ind w:firstLine="0"/>
        <w:rPr>
          <w:rFonts w:ascii="仿宋" w:hAnsi="仿宋" w:eastAsia="仿宋" w:cs="仿宋"/>
          <w:sz w:val="24"/>
          <w:szCs w:val="24"/>
        </w:rPr>
      </w:pPr>
      <w:r>
        <w:rPr>
          <w:rFonts w:hint="eastAsia" w:ascii="仿宋" w:hAnsi="仿宋" w:eastAsia="仿宋" w:cs="仿宋"/>
          <w:sz w:val="24"/>
          <w:szCs w:val="24"/>
        </w:rPr>
        <w:t>3、服务交付</w:t>
      </w:r>
      <w:bookmarkEnd w:id="29"/>
    </w:p>
    <w:p>
      <w:pPr>
        <w:ind w:firstLine="0"/>
        <w:rPr>
          <w:rFonts w:ascii="仿宋" w:hAnsi="仿宋" w:eastAsia="仿宋" w:cs="仿宋"/>
          <w:sz w:val="24"/>
          <w:szCs w:val="24"/>
        </w:rPr>
      </w:pPr>
      <w:r>
        <w:rPr>
          <w:rFonts w:hint="eastAsia" w:ascii="仿宋" w:hAnsi="仿宋" w:eastAsia="仿宋" w:cs="仿宋"/>
          <w:sz w:val="24"/>
          <w:szCs w:val="24"/>
        </w:rPr>
        <w:t xml:space="preserve">    专家值守服务，交付物包括但不仅限于以下文档：</w:t>
      </w:r>
    </w:p>
    <w:p>
      <w:pPr>
        <w:ind w:firstLine="0"/>
        <w:rPr>
          <w:rFonts w:ascii="仿宋" w:hAnsi="仿宋" w:eastAsia="仿宋" w:cs="仿宋"/>
          <w:sz w:val="24"/>
          <w:szCs w:val="24"/>
        </w:rPr>
      </w:pPr>
      <w:r>
        <w:rPr>
          <w:rFonts w:hint="eastAsia" w:ascii="仿宋" w:hAnsi="仿宋" w:eastAsia="仿宋" w:cs="仿宋"/>
          <w:sz w:val="24"/>
          <w:szCs w:val="24"/>
        </w:rPr>
        <w:t xml:space="preserve">    《专家值守报告》</w:t>
      </w:r>
      <w:bookmarkStart w:id="30" w:name="_Toc1292094383"/>
    </w:p>
    <w:p>
      <w:pPr>
        <w:ind w:firstLine="0"/>
        <w:rPr>
          <w:rFonts w:ascii="仿宋" w:hAnsi="仿宋" w:eastAsia="仿宋" w:cs="仿宋"/>
          <w:sz w:val="24"/>
          <w:szCs w:val="24"/>
        </w:rPr>
      </w:pPr>
      <w:r>
        <w:rPr>
          <w:rFonts w:hint="eastAsia" w:ascii="仿宋" w:hAnsi="仿宋" w:eastAsia="仿宋" w:cs="仿宋"/>
          <w:sz w:val="24"/>
          <w:szCs w:val="24"/>
        </w:rPr>
        <w:t>（三）安全培训服务</w:t>
      </w:r>
      <w:bookmarkEnd w:id="30"/>
      <w:bookmarkStart w:id="31" w:name="_Toc875656617"/>
      <w:bookmarkStart w:id="32" w:name="_Toc9917"/>
    </w:p>
    <w:p>
      <w:pPr>
        <w:ind w:firstLine="0"/>
        <w:rPr>
          <w:rFonts w:ascii="仿宋" w:hAnsi="仿宋" w:eastAsia="仿宋" w:cs="仿宋"/>
          <w:sz w:val="24"/>
          <w:szCs w:val="24"/>
        </w:rPr>
      </w:pPr>
      <w:r>
        <w:rPr>
          <w:rFonts w:hint="eastAsia" w:ascii="仿宋" w:hAnsi="仿宋" w:eastAsia="仿宋" w:cs="仿宋"/>
          <w:sz w:val="24"/>
          <w:szCs w:val="24"/>
        </w:rPr>
        <w:t>1、服务内容</w:t>
      </w:r>
      <w:bookmarkEnd w:id="31"/>
      <w:bookmarkEnd w:id="32"/>
    </w:p>
    <w:p>
      <w:pPr>
        <w:ind w:firstLine="0"/>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针对</w:t>
      </w:r>
      <w:r>
        <w:rPr>
          <w:rFonts w:hint="eastAsia" w:ascii="仿宋" w:hAnsi="仿宋" w:eastAsia="仿宋" w:cs="仿宋"/>
          <w:sz w:val="24"/>
          <w:szCs w:val="24"/>
        </w:rPr>
        <w:t>根据不同的用户类型安排有针对性的培训内容。</w:t>
      </w:r>
    </w:p>
    <w:p>
      <w:pPr>
        <w:ind w:firstLine="0"/>
        <w:rPr>
          <w:rFonts w:ascii="仿宋" w:hAnsi="仿宋" w:eastAsia="仿宋" w:cs="仿宋"/>
          <w:sz w:val="24"/>
          <w:szCs w:val="24"/>
        </w:rPr>
      </w:pPr>
      <w:r>
        <w:rPr>
          <w:rFonts w:hint="eastAsia" w:ascii="仿宋" w:hAnsi="仿宋" w:eastAsia="仿宋" w:cs="仿宋"/>
          <w:sz w:val="24"/>
          <w:szCs w:val="24"/>
        </w:rPr>
        <w:t xml:space="preserve">    技术人员主要包括：操作人员、开发人员、维护人员等。</w:t>
      </w:r>
    </w:p>
    <w:p>
      <w:pPr>
        <w:ind w:firstLine="0"/>
        <w:rPr>
          <w:rFonts w:ascii="仿宋" w:hAnsi="仿宋" w:eastAsia="仿宋" w:cs="仿宋"/>
          <w:sz w:val="24"/>
          <w:szCs w:val="24"/>
        </w:rPr>
      </w:pPr>
      <w:r>
        <w:rPr>
          <w:rFonts w:hint="eastAsia" w:ascii="仿宋" w:hAnsi="仿宋" w:eastAsia="仿宋" w:cs="仿宋"/>
          <w:sz w:val="24"/>
          <w:szCs w:val="24"/>
        </w:rPr>
        <w:t xml:space="preserve">    培训目标：面向专业技术人员，以提升网络安全专业人员技术水平为目的，讲解网络威胁的种类、常见黑客攻击手法思路、安全防护方案及日常错误等。</w:t>
      </w:r>
    </w:p>
    <w:p>
      <w:pPr>
        <w:ind w:firstLine="0"/>
        <w:rPr>
          <w:rFonts w:ascii="仿宋" w:hAnsi="仿宋" w:eastAsia="仿宋" w:cs="仿宋"/>
          <w:sz w:val="24"/>
          <w:szCs w:val="24"/>
        </w:rPr>
      </w:pPr>
      <w:r>
        <w:rPr>
          <w:rFonts w:hint="eastAsia" w:ascii="仿宋" w:hAnsi="仿宋" w:eastAsia="仿宋" w:cs="仿宋"/>
          <w:sz w:val="24"/>
          <w:szCs w:val="24"/>
        </w:rPr>
        <w:t xml:space="preserve">    全员培训主要包括：安全意识培训等。</w:t>
      </w:r>
    </w:p>
    <w:p>
      <w:pPr>
        <w:ind w:firstLine="0"/>
        <w:rPr>
          <w:rFonts w:ascii="仿宋" w:hAnsi="仿宋" w:eastAsia="仿宋" w:cs="仿宋"/>
          <w:sz w:val="24"/>
          <w:szCs w:val="24"/>
        </w:rPr>
      </w:pPr>
      <w:r>
        <w:rPr>
          <w:rFonts w:hint="eastAsia" w:ascii="仿宋" w:hAnsi="仿宋" w:eastAsia="仿宋" w:cs="仿宋"/>
          <w:sz w:val="24"/>
          <w:szCs w:val="24"/>
        </w:rPr>
        <w:t xml:space="preserve">    培训目标：面向普通员工，讲解当前网络环境中存在的常见威胁、网络攻击手法、存在的风险，提升普通员工在日常工作、生活中网络安全防护意识，让安全事故可以得到有效的避免。</w:t>
      </w:r>
    </w:p>
    <w:p>
      <w:pPr>
        <w:ind w:firstLine="0"/>
        <w:rPr>
          <w:rFonts w:ascii="仿宋" w:hAnsi="仿宋" w:eastAsia="仿宋" w:cs="仿宋"/>
          <w:sz w:val="24"/>
          <w:szCs w:val="24"/>
        </w:rPr>
      </w:pPr>
      <w:r>
        <w:rPr>
          <w:rFonts w:hint="eastAsia" w:ascii="仿宋" w:hAnsi="仿宋" w:eastAsia="仿宋" w:cs="仿宋"/>
          <w:sz w:val="24"/>
          <w:szCs w:val="24"/>
        </w:rPr>
        <w:t xml:space="preserve">    课程体系、内容不限于：</w:t>
      </w:r>
    </w:p>
    <w:p>
      <w:pPr>
        <w:ind w:firstLine="0"/>
        <w:rPr>
          <w:rFonts w:ascii="仿宋" w:hAnsi="仿宋" w:eastAsia="仿宋" w:cs="仿宋"/>
          <w:sz w:val="24"/>
          <w:szCs w:val="24"/>
        </w:rPr>
      </w:pPr>
      <w:r>
        <w:rPr>
          <w:rFonts w:hint="eastAsia" w:ascii="仿宋" w:hAnsi="仿宋" w:eastAsia="仿宋" w:cs="仿宋"/>
          <w:sz w:val="24"/>
          <w:szCs w:val="24"/>
        </w:rPr>
        <w:t xml:space="preserve">    信息安全基础培训，提供最基础的信息安全名词、知识点、相关产品、保障措施、安全意识等培训。</w:t>
      </w:r>
    </w:p>
    <w:p>
      <w:pPr>
        <w:ind w:firstLine="0"/>
        <w:rPr>
          <w:rFonts w:ascii="仿宋" w:hAnsi="仿宋" w:eastAsia="仿宋" w:cs="仿宋"/>
          <w:sz w:val="24"/>
          <w:szCs w:val="24"/>
        </w:rPr>
      </w:pPr>
      <w:r>
        <w:rPr>
          <w:rFonts w:hint="eastAsia" w:ascii="仿宋" w:hAnsi="仿宋" w:eastAsia="仿宋" w:cs="仿宋"/>
          <w:sz w:val="24"/>
          <w:szCs w:val="24"/>
        </w:rPr>
        <w:t xml:space="preserve">    信息安全管理体系培训，信息系统的整个生命周期中，从技术、工程、管理和人员各个方面的安全保障要求，确保信息的保密性、完整性和可用性特征，实现和贯彻组织机构策略，并将风险降低到可接受的程度，以保护组织机构信息系统资产。</w:t>
      </w:r>
    </w:p>
    <w:p>
      <w:pPr>
        <w:ind w:firstLine="0"/>
        <w:rPr>
          <w:rFonts w:ascii="仿宋" w:hAnsi="仿宋" w:eastAsia="仿宋" w:cs="仿宋"/>
          <w:sz w:val="24"/>
          <w:szCs w:val="24"/>
        </w:rPr>
      </w:pPr>
      <w:r>
        <w:rPr>
          <w:rFonts w:hint="eastAsia" w:ascii="仿宋" w:hAnsi="仿宋" w:eastAsia="仿宋" w:cs="仿宋"/>
          <w:sz w:val="24"/>
          <w:szCs w:val="24"/>
        </w:rPr>
        <w:t xml:space="preserve">    安全攻防培训，针对各类网络攻击及对应的安全防护措施思路进行培训。帮助用户了解黑客实施攻击的思维和行为模式，同时关注网络、操作系统、应用系统的各种典型漏洞和问题，并利用典型案例的分析来理解黑客发掘漏洞展开攻击的实际过程。针对具体漏洞和攻击手段，提出相应的防护策略和解决方案。 </w:t>
      </w:r>
    </w:p>
    <w:p>
      <w:pPr>
        <w:ind w:firstLine="0"/>
        <w:rPr>
          <w:rFonts w:ascii="仿宋" w:hAnsi="仿宋" w:eastAsia="仿宋" w:cs="仿宋"/>
          <w:sz w:val="24"/>
          <w:szCs w:val="24"/>
        </w:rPr>
      </w:pPr>
      <w:r>
        <w:rPr>
          <w:rFonts w:hint="eastAsia" w:ascii="仿宋" w:hAnsi="仿宋" w:eastAsia="仿宋" w:cs="仿宋"/>
          <w:sz w:val="24"/>
          <w:szCs w:val="24"/>
        </w:rPr>
        <w:t xml:space="preserve">    网络安全产品培训,针对主流的信息全线网络安全软件产品，提供技术培训，包括：安全管理平台、日志审计平台、网络数据库审计平台、终端管理平台等。</w:t>
      </w:r>
      <w:bookmarkStart w:id="33" w:name="_Toc455329028"/>
    </w:p>
    <w:p>
      <w:pPr>
        <w:ind w:firstLine="0"/>
        <w:rPr>
          <w:rFonts w:ascii="仿宋" w:hAnsi="仿宋" w:eastAsia="仿宋" w:cs="仿宋"/>
          <w:sz w:val="24"/>
          <w:szCs w:val="24"/>
        </w:rPr>
      </w:pPr>
      <w:r>
        <w:rPr>
          <w:rFonts w:hint="eastAsia" w:ascii="仿宋" w:hAnsi="仿宋" w:eastAsia="仿宋" w:cs="仿宋"/>
          <w:sz w:val="24"/>
          <w:szCs w:val="24"/>
        </w:rPr>
        <w:t>2、服务周期</w:t>
      </w:r>
      <w:bookmarkEnd w:id="33"/>
    </w:p>
    <w:p>
      <w:pPr>
        <w:ind w:firstLine="0"/>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安全培训宣贯</w:t>
      </w:r>
      <w:r>
        <w:rPr>
          <w:rFonts w:hint="eastAsia" w:ascii="仿宋" w:hAnsi="仿宋" w:eastAsia="仿宋" w:cs="仿宋"/>
          <w:sz w:val="24"/>
          <w:szCs w:val="24"/>
        </w:rPr>
        <w:t>服务每年</w:t>
      </w:r>
      <w:r>
        <w:rPr>
          <w:rFonts w:ascii="仿宋" w:hAnsi="仿宋" w:eastAsia="仿宋" w:cs="仿宋"/>
          <w:sz w:val="24"/>
          <w:szCs w:val="24"/>
        </w:rPr>
        <w:t>2</w:t>
      </w:r>
      <w:r>
        <w:rPr>
          <w:rFonts w:hint="eastAsia" w:ascii="仿宋" w:hAnsi="仿宋" w:eastAsia="仿宋" w:cs="仿宋"/>
          <w:sz w:val="24"/>
          <w:szCs w:val="24"/>
        </w:rPr>
        <w:t>次</w:t>
      </w:r>
      <w:r>
        <w:rPr>
          <w:rFonts w:ascii="仿宋" w:hAnsi="仿宋" w:eastAsia="仿宋" w:cs="仿宋"/>
          <w:sz w:val="24"/>
          <w:szCs w:val="24"/>
        </w:rPr>
        <w:t>，每次邀请专家不少于0.5天的培训课程</w:t>
      </w:r>
      <w:r>
        <w:rPr>
          <w:rFonts w:hint="eastAsia" w:ascii="仿宋" w:hAnsi="仿宋" w:eastAsia="仿宋" w:cs="仿宋"/>
          <w:sz w:val="24"/>
          <w:szCs w:val="24"/>
        </w:rPr>
        <w:t>。</w:t>
      </w:r>
    </w:p>
    <w:p>
      <w:pPr>
        <w:ind w:firstLine="0"/>
        <w:rPr>
          <w:rFonts w:ascii="仿宋" w:hAnsi="仿宋" w:eastAsia="仿宋" w:cs="仿宋"/>
          <w:sz w:val="24"/>
          <w:szCs w:val="24"/>
        </w:rPr>
      </w:pPr>
      <w:bookmarkStart w:id="34" w:name="_Toc20471"/>
      <w:bookmarkStart w:id="35" w:name="_Toc1230739335"/>
      <w:r>
        <w:rPr>
          <w:rFonts w:hint="eastAsia" w:ascii="仿宋" w:hAnsi="仿宋" w:eastAsia="仿宋" w:cs="仿宋"/>
          <w:sz w:val="24"/>
          <w:szCs w:val="24"/>
        </w:rPr>
        <w:t>3、主要交付</w:t>
      </w:r>
      <w:bookmarkEnd w:id="34"/>
      <w:r>
        <w:rPr>
          <w:rFonts w:hint="eastAsia" w:ascii="仿宋" w:hAnsi="仿宋" w:eastAsia="仿宋" w:cs="仿宋"/>
          <w:sz w:val="24"/>
          <w:szCs w:val="24"/>
        </w:rPr>
        <w:t>物</w:t>
      </w:r>
      <w:bookmarkEnd w:id="35"/>
    </w:p>
    <w:p>
      <w:pPr>
        <w:ind w:firstLine="0"/>
        <w:rPr>
          <w:rFonts w:ascii="仿宋" w:hAnsi="仿宋" w:eastAsia="仿宋" w:cs="仿宋"/>
          <w:sz w:val="24"/>
          <w:szCs w:val="24"/>
        </w:rPr>
      </w:pPr>
      <w:r>
        <w:rPr>
          <w:rFonts w:hint="eastAsia" w:ascii="仿宋" w:hAnsi="仿宋" w:eastAsia="仿宋" w:cs="仿宋"/>
          <w:sz w:val="24"/>
          <w:szCs w:val="24"/>
        </w:rPr>
        <w:t xml:space="preserve">    在项目实施过程中，提交完整的阶段交付物，交付物包括但不限于以下文档：</w:t>
      </w:r>
    </w:p>
    <w:p>
      <w:pPr>
        <w:ind w:firstLine="0"/>
        <w:rPr>
          <w:rFonts w:ascii="仿宋" w:hAnsi="仿宋" w:eastAsia="仿宋" w:cs="仿宋"/>
          <w:sz w:val="24"/>
          <w:szCs w:val="24"/>
        </w:rPr>
      </w:pPr>
      <w:r>
        <w:rPr>
          <w:rFonts w:hint="eastAsia" w:ascii="仿宋" w:hAnsi="仿宋" w:eastAsia="仿宋" w:cs="仿宋"/>
          <w:sz w:val="24"/>
          <w:szCs w:val="24"/>
        </w:rPr>
        <w:t xml:space="preserve">   《网络安全培训》PPT等文档。</w:t>
      </w:r>
      <w:bookmarkStart w:id="36" w:name="_Toc25497"/>
      <w:bookmarkStart w:id="37" w:name="_Toc473515441"/>
    </w:p>
    <w:p>
      <w:pPr>
        <w:ind w:firstLine="0"/>
        <w:rPr>
          <w:rFonts w:ascii="仿宋" w:hAnsi="仿宋" w:eastAsia="仿宋" w:cs="仿宋"/>
          <w:sz w:val="24"/>
          <w:szCs w:val="24"/>
        </w:rPr>
      </w:pPr>
      <w:r>
        <w:rPr>
          <w:rFonts w:hint="eastAsia" w:ascii="仿宋" w:hAnsi="仿宋" w:eastAsia="仿宋" w:cs="仿宋"/>
          <w:sz w:val="24"/>
          <w:szCs w:val="24"/>
        </w:rPr>
        <w:t>（四）应急响应服务</w:t>
      </w:r>
      <w:bookmarkEnd w:id="36"/>
      <w:bookmarkEnd w:id="37"/>
      <w:bookmarkStart w:id="38" w:name="_Toc1947104752"/>
    </w:p>
    <w:p>
      <w:pPr>
        <w:ind w:firstLine="0"/>
        <w:rPr>
          <w:rFonts w:ascii="仿宋" w:hAnsi="仿宋" w:eastAsia="仿宋" w:cs="仿宋"/>
          <w:sz w:val="24"/>
          <w:szCs w:val="24"/>
        </w:rPr>
      </w:pPr>
      <w:r>
        <w:rPr>
          <w:rFonts w:hint="eastAsia" w:ascii="仿宋" w:hAnsi="仿宋" w:eastAsia="仿宋" w:cs="仿宋"/>
          <w:sz w:val="24"/>
          <w:szCs w:val="24"/>
        </w:rPr>
        <w:t>1、服务内容</w:t>
      </w:r>
      <w:bookmarkEnd w:id="38"/>
    </w:p>
    <w:p>
      <w:pPr>
        <w:ind w:firstLine="0"/>
        <w:rPr>
          <w:rFonts w:ascii="仿宋" w:hAnsi="仿宋" w:eastAsia="仿宋" w:cs="仿宋"/>
          <w:sz w:val="24"/>
          <w:szCs w:val="24"/>
        </w:rPr>
      </w:pPr>
      <w:r>
        <w:rPr>
          <w:rFonts w:hint="eastAsia" w:ascii="仿宋" w:hAnsi="仿宋" w:eastAsia="仿宋" w:cs="仿宋"/>
          <w:sz w:val="24"/>
          <w:szCs w:val="24"/>
        </w:rPr>
        <w:t xml:space="preserve">    当信息系统遇到突发的安全问题如：发生网络入侵事件、大规模病毒爆发、遭受拒绝服务攻击等，保障在</w:t>
      </w:r>
      <w:r>
        <w:rPr>
          <w:rFonts w:ascii="仿宋" w:hAnsi="仿宋" w:eastAsia="仿宋" w:cs="仿宋"/>
          <w:sz w:val="24"/>
          <w:szCs w:val="24"/>
        </w:rPr>
        <w:t>30</w:t>
      </w:r>
      <w:r>
        <w:rPr>
          <w:rFonts w:hint="eastAsia" w:ascii="仿宋" w:hAnsi="仿宋" w:eastAsia="仿宋" w:cs="仿宋"/>
          <w:sz w:val="24"/>
          <w:szCs w:val="24"/>
        </w:rPr>
        <w:t>分钟内进行有效响应，</w:t>
      </w:r>
      <w:r>
        <w:rPr>
          <w:rFonts w:ascii="仿宋" w:hAnsi="仿宋" w:eastAsia="仿宋" w:cs="仿宋"/>
          <w:sz w:val="24"/>
          <w:szCs w:val="24"/>
        </w:rPr>
        <w:t>2小时内应急响应人员到现场进行应急，</w:t>
      </w:r>
      <w:r>
        <w:rPr>
          <w:rFonts w:hint="eastAsia" w:ascii="仿宋" w:hAnsi="仿宋" w:eastAsia="仿宋" w:cs="仿宋"/>
          <w:sz w:val="24"/>
          <w:szCs w:val="24"/>
        </w:rPr>
        <w:t>对现场发现的脆弱性立刻加固，防止被入侵成功。对已产生的安全事件启动应急措施，确定安全事件的威胁和破坏的严重程度，事件进行抑制和溯源分析，找到脆弱点，进行加固并上报。</w:t>
      </w:r>
    </w:p>
    <w:p>
      <w:pPr>
        <w:ind w:firstLine="0"/>
        <w:rPr>
          <w:rFonts w:ascii="仿宋" w:hAnsi="仿宋" w:eastAsia="仿宋" w:cs="仿宋"/>
          <w:sz w:val="24"/>
          <w:szCs w:val="24"/>
        </w:rPr>
      </w:pPr>
      <w:r>
        <w:rPr>
          <w:rFonts w:hint="eastAsia" w:ascii="仿宋" w:hAnsi="仿宋" w:eastAsia="仿宋" w:cs="仿宋"/>
          <w:sz w:val="24"/>
          <w:szCs w:val="24"/>
        </w:rPr>
        <w:t xml:space="preserve">    在安全事件发生之后，应急响应整体工作流程如下图所示：</w:t>
      </w:r>
    </w:p>
    <w:p>
      <w:pPr>
        <w:ind w:firstLine="0"/>
        <w:rPr>
          <w:rFonts w:ascii="仿宋" w:hAnsi="仿宋" w:eastAsia="仿宋" w:cs="仿宋"/>
          <w:sz w:val="24"/>
          <w:szCs w:val="24"/>
        </w:rPr>
      </w:pPr>
      <w:r>
        <w:rPr>
          <w:rFonts w:hint="eastAsia" w:ascii="仿宋" w:hAnsi="仿宋" w:eastAsia="仿宋" w:cs="仿宋"/>
          <w:sz w:val="24"/>
          <w:szCs w:val="24"/>
        </w:rPr>
        <w:drawing>
          <wp:inline distT="0" distB="0" distL="0" distR="0">
            <wp:extent cx="4463415" cy="3552825"/>
            <wp:effectExtent l="0" t="0" r="6985" b="3175"/>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63415" cy="3552825"/>
                    </a:xfrm>
                    <a:prstGeom prst="rect">
                      <a:avLst/>
                    </a:prstGeom>
                    <a:noFill/>
                  </pic:spPr>
                </pic:pic>
              </a:graphicData>
            </a:graphic>
          </wp:inline>
        </w:drawing>
      </w:r>
    </w:p>
    <w:p>
      <w:pPr>
        <w:ind w:firstLine="0"/>
        <w:jc w:val="center"/>
        <w:rPr>
          <w:rFonts w:ascii="仿宋" w:hAnsi="仿宋" w:eastAsia="仿宋" w:cs="仿宋"/>
          <w:sz w:val="24"/>
          <w:szCs w:val="24"/>
        </w:rPr>
      </w:pPr>
      <w:r>
        <w:rPr>
          <w:rFonts w:hint="eastAsia" w:ascii="仿宋" w:hAnsi="仿宋" w:eastAsia="仿宋" w:cs="仿宋"/>
          <w:sz w:val="24"/>
          <w:szCs w:val="24"/>
        </w:rPr>
        <w:t>应急处置流程</w:t>
      </w:r>
    </w:p>
    <w:p>
      <w:pPr>
        <w:ind w:firstLine="0"/>
        <w:rPr>
          <w:rFonts w:ascii="仿宋" w:hAnsi="仿宋" w:eastAsia="仿宋" w:cs="仿宋"/>
          <w:sz w:val="24"/>
          <w:szCs w:val="24"/>
        </w:rPr>
      </w:pPr>
      <w:r>
        <w:rPr>
          <w:rFonts w:hint="eastAsia" w:ascii="仿宋" w:hAnsi="仿宋" w:eastAsia="仿宋" w:cs="仿宋"/>
          <w:sz w:val="24"/>
          <w:szCs w:val="24"/>
        </w:rPr>
        <w:t xml:space="preserve">    根据GB/Z 20986 2007《信息安全技术信息安全事件分类分级指南》对信息安全事件分类的分类方法，综合考虑客户系统网络与信息化建设的具体情况，客户系统网络与信息安全事件的专项应急预案可归类分为有害程序事件、网络攻击事件、信息破坏事件、信息内容安全事件、设备设施故障、灾害性事件和其他信息安全事件等7个基本分类。</w:t>
      </w:r>
    </w:p>
    <w:p>
      <w:pPr>
        <w:ind w:firstLine="0"/>
        <w:rPr>
          <w:rFonts w:ascii="仿宋" w:hAnsi="仿宋" w:eastAsia="仿宋" w:cs="仿宋"/>
          <w:sz w:val="24"/>
          <w:szCs w:val="24"/>
        </w:rPr>
      </w:pPr>
      <w:r>
        <w:rPr>
          <w:rFonts w:hint="eastAsia" w:ascii="仿宋" w:hAnsi="仿宋" w:eastAsia="仿宋" w:cs="仿宋"/>
          <w:sz w:val="24"/>
          <w:szCs w:val="24"/>
        </w:rPr>
        <w:drawing>
          <wp:inline distT="0" distB="0" distL="0" distR="0">
            <wp:extent cx="5654040" cy="4208145"/>
            <wp:effectExtent l="0" t="0" r="10160" b="8255"/>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54040" cy="4208145"/>
                    </a:xfrm>
                    <a:prstGeom prst="rect">
                      <a:avLst/>
                    </a:prstGeom>
                    <a:noFill/>
                  </pic:spPr>
                </pic:pic>
              </a:graphicData>
            </a:graphic>
          </wp:inline>
        </w:drawing>
      </w:r>
    </w:p>
    <w:p>
      <w:pPr>
        <w:ind w:firstLine="0"/>
        <w:jc w:val="center"/>
        <w:rPr>
          <w:rFonts w:ascii="仿宋" w:hAnsi="仿宋" w:eastAsia="仿宋" w:cs="仿宋"/>
          <w:sz w:val="24"/>
          <w:szCs w:val="24"/>
        </w:rPr>
      </w:pPr>
      <w:r>
        <w:rPr>
          <w:rFonts w:hint="eastAsia" w:ascii="仿宋" w:hAnsi="仿宋" w:eastAsia="仿宋" w:cs="仿宋"/>
          <w:sz w:val="24"/>
          <w:szCs w:val="24"/>
        </w:rPr>
        <w:t>网络与信息安全事件分类</w:t>
      </w:r>
      <w:bookmarkStart w:id="39" w:name="_Toc1633753878"/>
    </w:p>
    <w:p>
      <w:pPr>
        <w:ind w:firstLine="0"/>
        <w:rPr>
          <w:rFonts w:ascii="仿宋" w:hAnsi="仿宋" w:eastAsia="仿宋" w:cs="仿宋"/>
          <w:sz w:val="24"/>
          <w:szCs w:val="24"/>
        </w:rPr>
      </w:pPr>
      <w:r>
        <w:rPr>
          <w:rFonts w:hint="eastAsia" w:ascii="仿宋" w:hAnsi="仿宋" w:eastAsia="仿宋" w:cs="仿宋"/>
          <w:sz w:val="24"/>
          <w:szCs w:val="24"/>
        </w:rPr>
        <w:t>2、服务周期</w:t>
      </w:r>
      <w:bookmarkEnd w:id="39"/>
    </w:p>
    <w:p>
      <w:pPr>
        <w:ind w:firstLine="0"/>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应急响应</w:t>
      </w:r>
      <w:r>
        <w:rPr>
          <w:rFonts w:hint="eastAsia" w:ascii="仿宋" w:hAnsi="仿宋" w:eastAsia="仿宋" w:cs="仿宋"/>
          <w:sz w:val="24"/>
          <w:szCs w:val="24"/>
        </w:rPr>
        <w:t>服务按需每年提供不少于</w:t>
      </w:r>
      <w:r>
        <w:rPr>
          <w:rFonts w:ascii="仿宋" w:hAnsi="仿宋" w:eastAsia="仿宋" w:cs="仿宋"/>
          <w:sz w:val="24"/>
          <w:szCs w:val="24"/>
        </w:rPr>
        <w:t>20人天的现场应急服务。</w:t>
      </w:r>
      <w:bookmarkStart w:id="40" w:name="_Toc775517004"/>
    </w:p>
    <w:p>
      <w:pPr>
        <w:ind w:firstLine="0"/>
        <w:rPr>
          <w:rFonts w:ascii="仿宋" w:hAnsi="仿宋" w:eastAsia="仿宋" w:cs="仿宋"/>
          <w:sz w:val="24"/>
          <w:szCs w:val="24"/>
        </w:rPr>
      </w:pPr>
      <w:r>
        <w:rPr>
          <w:rFonts w:hint="eastAsia" w:ascii="仿宋" w:hAnsi="仿宋" w:eastAsia="仿宋" w:cs="仿宋"/>
          <w:sz w:val="24"/>
          <w:szCs w:val="24"/>
        </w:rPr>
        <w:t>3、成果交付</w:t>
      </w:r>
      <w:bookmarkEnd w:id="40"/>
    </w:p>
    <w:p>
      <w:pPr>
        <w:ind w:firstLine="0"/>
        <w:rPr>
          <w:rFonts w:ascii="仿宋" w:hAnsi="仿宋" w:eastAsia="仿宋" w:cs="仿宋"/>
          <w:sz w:val="24"/>
          <w:szCs w:val="24"/>
        </w:rPr>
      </w:pPr>
      <w:r>
        <w:rPr>
          <w:rFonts w:hint="eastAsia" w:ascii="仿宋" w:hAnsi="仿宋" w:eastAsia="仿宋" w:cs="仿宋"/>
          <w:sz w:val="24"/>
          <w:szCs w:val="24"/>
        </w:rPr>
        <w:t xml:space="preserve">    在项目实施过程中，提交完整的阶段交付物，交付物包括但不限于以下文档：</w:t>
      </w:r>
    </w:p>
    <w:p>
      <w:pPr>
        <w:ind w:firstLine="0"/>
        <w:rPr>
          <w:rFonts w:ascii="仿宋" w:hAnsi="仿宋" w:eastAsia="仿宋" w:cs="仿宋"/>
          <w:sz w:val="24"/>
          <w:szCs w:val="24"/>
        </w:rPr>
      </w:pPr>
      <w:r>
        <w:rPr>
          <w:rFonts w:hint="eastAsia" w:ascii="仿宋" w:hAnsi="仿宋" w:eastAsia="仿宋" w:cs="仿宋"/>
          <w:sz w:val="24"/>
          <w:szCs w:val="24"/>
        </w:rPr>
        <w:t xml:space="preserve">    《应急响应报告》</w:t>
      </w:r>
      <w:bookmarkStart w:id="41" w:name="_Toc520228051"/>
      <w:bookmarkStart w:id="42" w:name="_Toc1036032585"/>
    </w:p>
    <w:p>
      <w:pPr>
        <w:ind w:firstLine="0"/>
        <w:rPr>
          <w:rFonts w:ascii="仿宋" w:hAnsi="仿宋" w:eastAsia="仿宋" w:cs="仿宋"/>
          <w:sz w:val="24"/>
          <w:szCs w:val="24"/>
        </w:rPr>
      </w:pPr>
      <w:r>
        <w:rPr>
          <w:rFonts w:hint="eastAsia" w:ascii="仿宋" w:hAnsi="仿宋" w:eastAsia="仿宋" w:cs="仿宋"/>
          <w:sz w:val="24"/>
          <w:szCs w:val="24"/>
        </w:rPr>
        <w:t>（五）网络安全评估</w:t>
      </w:r>
      <w:bookmarkEnd w:id="41"/>
      <w:r>
        <w:rPr>
          <w:rFonts w:hint="eastAsia" w:ascii="仿宋" w:hAnsi="仿宋" w:eastAsia="仿宋" w:cs="仿宋"/>
          <w:sz w:val="24"/>
          <w:szCs w:val="24"/>
        </w:rPr>
        <w:t>及协助加固</w:t>
      </w:r>
      <w:r>
        <w:rPr>
          <w:rFonts w:ascii="仿宋" w:hAnsi="仿宋" w:eastAsia="仿宋" w:cs="仿宋"/>
          <w:sz w:val="24"/>
          <w:szCs w:val="24"/>
        </w:rPr>
        <w:t>服务</w:t>
      </w:r>
      <w:bookmarkEnd w:id="42"/>
      <w:bookmarkStart w:id="43" w:name="_Toc802246219"/>
    </w:p>
    <w:p>
      <w:pPr>
        <w:ind w:firstLine="0"/>
        <w:rPr>
          <w:rFonts w:ascii="仿宋" w:hAnsi="仿宋" w:eastAsia="仿宋" w:cs="仿宋"/>
          <w:sz w:val="24"/>
          <w:szCs w:val="24"/>
        </w:rPr>
      </w:pPr>
      <w:r>
        <w:rPr>
          <w:rFonts w:hint="eastAsia" w:ascii="仿宋" w:hAnsi="仿宋" w:eastAsia="仿宋" w:cs="仿宋"/>
          <w:sz w:val="24"/>
          <w:szCs w:val="24"/>
        </w:rPr>
        <w:t>1、服务内容</w:t>
      </w:r>
      <w:bookmarkEnd w:id="43"/>
    </w:p>
    <w:p>
      <w:pPr>
        <w:ind w:firstLine="0"/>
        <w:rPr>
          <w:rFonts w:ascii="仿宋" w:hAnsi="仿宋" w:eastAsia="仿宋" w:cs="仿宋"/>
          <w:b/>
          <w:sz w:val="24"/>
          <w:szCs w:val="24"/>
        </w:rPr>
      </w:pPr>
      <w:bookmarkStart w:id="44" w:name="_Toc520228052"/>
      <w:bookmarkStart w:id="45" w:name="_Toc520228055"/>
      <w:r>
        <w:rPr>
          <w:rFonts w:hint="eastAsia" w:ascii="仿宋" w:hAnsi="仿宋" w:eastAsia="仿宋" w:cs="仿宋"/>
          <w:b/>
          <w:sz w:val="24"/>
          <w:szCs w:val="24"/>
        </w:rPr>
        <w:t>漏洞扫描</w:t>
      </w:r>
    </w:p>
    <w:p>
      <w:pPr>
        <w:ind w:firstLine="0"/>
        <w:rPr>
          <w:rFonts w:ascii="仿宋" w:hAnsi="仿宋" w:eastAsia="仿宋" w:cs="仿宋"/>
          <w:sz w:val="24"/>
          <w:szCs w:val="24"/>
        </w:rPr>
      </w:pPr>
      <w:r>
        <w:rPr>
          <w:rFonts w:hint="eastAsia" w:ascii="仿宋" w:hAnsi="仿宋" w:eastAsia="仿宋" w:cs="仿宋"/>
          <w:sz w:val="24"/>
          <w:szCs w:val="24"/>
        </w:rPr>
        <w:t xml:space="preserve">    采用具有自主知识产权的漏洞扫描工具对服务范围内的业务系统主机、应用、数据库进行专业的漏洞扫描，并人工验证所发现的web应用漏洞、主机操作系统漏洞、数据库漏洞、逻辑缺陷、弱口令、信息泄露及配置不当等脆弱性问题。</w:t>
      </w:r>
      <w:bookmarkEnd w:id="44"/>
      <w:bookmarkEnd w:id="45"/>
    </w:p>
    <w:p>
      <w:pPr>
        <w:ind w:firstLine="0"/>
        <w:rPr>
          <w:rFonts w:ascii="仿宋" w:hAnsi="仿宋" w:eastAsia="仿宋" w:cs="仿宋"/>
          <w:b/>
          <w:sz w:val="24"/>
          <w:szCs w:val="24"/>
        </w:rPr>
      </w:pPr>
      <w:r>
        <w:rPr>
          <w:rFonts w:hint="eastAsia" w:ascii="仿宋" w:hAnsi="仿宋" w:eastAsia="仿宋" w:cs="仿宋"/>
          <w:b/>
          <w:sz w:val="24"/>
          <w:szCs w:val="24"/>
        </w:rPr>
        <w:t>回归测试</w:t>
      </w:r>
    </w:p>
    <w:p>
      <w:pPr>
        <w:ind w:firstLine="0"/>
        <w:rPr>
          <w:rFonts w:ascii="仿宋" w:hAnsi="仿宋" w:eastAsia="仿宋" w:cs="仿宋"/>
          <w:sz w:val="24"/>
          <w:szCs w:val="24"/>
        </w:rPr>
      </w:pPr>
      <w:r>
        <w:rPr>
          <w:rFonts w:hint="eastAsia" w:ascii="仿宋" w:hAnsi="仿宋" w:eastAsia="仿宋" w:cs="仿宋"/>
          <w:sz w:val="24"/>
          <w:szCs w:val="24"/>
        </w:rPr>
        <w:t xml:space="preserve">    在用户修改了高危代码或漏洞后，将重新进行安全测试来确认修改没有引入新的错误或导致其他代码产生错误；在正式进行回归测试前，需确定回归测试的对象与范围，依靠自动化漏洞扫描及人工检查等技术手段配合验证，回归测试也有效提高了整改和加固措施的有效性，大幅降低系统测试、维护升级等阶段的成本。回归测试作为软件生命周期的一个组成部分，在渐进和快速迭代中回归测试策略运用比较频繁，要求投标人通过合理的技术手段降低未加固漏洞的安全风险，提升信息系统安全加固的有效性。</w:t>
      </w:r>
    </w:p>
    <w:p>
      <w:pPr>
        <w:ind w:firstLine="0"/>
        <w:rPr>
          <w:rFonts w:ascii="仿宋" w:hAnsi="仿宋" w:eastAsia="仿宋" w:cs="仿宋"/>
          <w:b/>
          <w:sz w:val="24"/>
          <w:szCs w:val="24"/>
        </w:rPr>
      </w:pPr>
      <w:r>
        <w:rPr>
          <w:rFonts w:hint="eastAsia" w:ascii="仿宋" w:hAnsi="仿宋" w:eastAsia="仿宋" w:cs="仿宋"/>
          <w:b/>
          <w:sz w:val="24"/>
          <w:szCs w:val="24"/>
        </w:rPr>
        <w:t>安全协助加固</w:t>
      </w:r>
    </w:p>
    <w:p>
      <w:pPr>
        <w:ind w:firstLine="0"/>
        <w:rPr>
          <w:rFonts w:ascii="仿宋" w:hAnsi="仿宋" w:eastAsia="仿宋" w:cs="仿宋"/>
          <w:sz w:val="24"/>
          <w:szCs w:val="24"/>
        </w:rPr>
      </w:pPr>
      <w:r>
        <w:rPr>
          <w:rFonts w:hint="eastAsia" w:ascii="仿宋" w:hAnsi="仿宋" w:eastAsia="仿宋" w:cs="仿宋"/>
          <w:sz w:val="24"/>
          <w:szCs w:val="24"/>
        </w:rPr>
        <w:t xml:space="preserve">    根据安全检测服务结果，高级安全专家针对所发现的安全漏洞及安全风险，提出可操作性强、效果佳的整改建议，并协助用户完成整改。</w:t>
      </w:r>
    </w:p>
    <w:p>
      <w:pPr>
        <w:ind w:firstLine="0"/>
        <w:rPr>
          <w:rFonts w:ascii="仿宋" w:hAnsi="仿宋" w:eastAsia="仿宋" w:cs="仿宋"/>
          <w:sz w:val="24"/>
          <w:szCs w:val="24"/>
        </w:rPr>
      </w:pPr>
      <w:r>
        <w:rPr>
          <w:rFonts w:hint="eastAsia" w:ascii="仿宋" w:hAnsi="仿宋" w:eastAsia="仿宋" w:cs="仿宋"/>
          <w:sz w:val="24"/>
          <w:szCs w:val="24"/>
        </w:rPr>
        <w:t xml:space="preserve">    网络安全加固主要从以下几个方面考虑：</w:t>
      </w:r>
    </w:p>
    <w:p>
      <w:pPr>
        <w:ind w:firstLine="0"/>
        <w:rPr>
          <w:rFonts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服务器系统主要从以下方面进行安全加固和优化：</w:t>
      </w:r>
    </w:p>
    <w:p>
      <w:pPr>
        <w:ind w:firstLine="0"/>
        <w:rPr>
          <w:rFonts w:ascii="仿宋" w:hAnsi="仿宋" w:eastAsia="仿宋" w:cs="仿宋"/>
          <w:sz w:val="24"/>
          <w:szCs w:val="24"/>
        </w:rPr>
      </w:pPr>
      <w:r>
        <w:rPr>
          <w:rFonts w:hint="eastAsia" w:ascii="仿宋" w:hAnsi="仿宋" w:eastAsia="仿宋" w:cs="仿宋"/>
          <w:sz w:val="24"/>
          <w:szCs w:val="24"/>
        </w:rPr>
        <w:t xml:space="preserve">    安全补丁的选择性安装；</w:t>
      </w:r>
    </w:p>
    <w:p>
      <w:pPr>
        <w:ind w:firstLine="0"/>
        <w:rPr>
          <w:rFonts w:ascii="仿宋" w:hAnsi="仿宋" w:eastAsia="仿宋" w:cs="仿宋"/>
          <w:sz w:val="24"/>
          <w:szCs w:val="24"/>
        </w:rPr>
      </w:pPr>
      <w:r>
        <w:rPr>
          <w:rFonts w:hint="eastAsia" w:ascii="仿宋" w:hAnsi="仿宋" w:eastAsia="仿宋" w:cs="仿宋"/>
          <w:sz w:val="24"/>
          <w:szCs w:val="24"/>
        </w:rPr>
        <w:t xml:space="preserve">    最小服务原则的贯彻，禁用不必要系统服务；</w:t>
      </w:r>
    </w:p>
    <w:p>
      <w:pPr>
        <w:ind w:firstLine="0"/>
        <w:rPr>
          <w:rFonts w:ascii="仿宋" w:hAnsi="仿宋" w:eastAsia="仿宋" w:cs="仿宋"/>
          <w:sz w:val="24"/>
          <w:szCs w:val="24"/>
        </w:rPr>
      </w:pPr>
      <w:r>
        <w:rPr>
          <w:rFonts w:hint="eastAsia" w:ascii="仿宋" w:hAnsi="仿宋" w:eastAsia="仿宋" w:cs="仿宋"/>
          <w:sz w:val="24"/>
          <w:szCs w:val="24"/>
        </w:rPr>
        <w:t xml:space="preserve">    最小授权原则的贯彻，细化授权原则；</w:t>
      </w:r>
    </w:p>
    <w:p>
      <w:pPr>
        <w:ind w:firstLine="0"/>
        <w:rPr>
          <w:rFonts w:ascii="仿宋" w:hAnsi="仿宋" w:eastAsia="仿宋" w:cs="仿宋"/>
          <w:sz w:val="24"/>
          <w:szCs w:val="24"/>
        </w:rPr>
      </w:pPr>
      <w:r>
        <w:rPr>
          <w:rFonts w:hint="eastAsia" w:ascii="仿宋" w:hAnsi="仿宋" w:eastAsia="仿宋" w:cs="仿宋"/>
          <w:sz w:val="24"/>
          <w:szCs w:val="24"/>
        </w:rPr>
        <w:t xml:space="preserve">    SSH管理数据加密配置；</w:t>
      </w:r>
    </w:p>
    <w:p>
      <w:pPr>
        <w:ind w:firstLine="0"/>
        <w:rPr>
          <w:rFonts w:ascii="仿宋" w:hAnsi="仿宋" w:eastAsia="仿宋" w:cs="仿宋"/>
          <w:sz w:val="24"/>
          <w:szCs w:val="24"/>
        </w:rPr>
      </w:pPr>
      <w:r>
        <w:rPr>
          <w:rFonts w:hint="eastAsia" w:ascii="仿宋" w:hAnsi="仿宋" w:eastAsia="仿宋" w:cs="仿宋"/>
          <w:sz w:val="24"/>
          <w:szCs w:val="24"/>
        </w:rPr>
        <w:t xml:space="preserve">    账号、密码安全策略；</w:t>
      </w:r>
    </w:p>
    <w:p>
      <w:pPr>
        <w:ind w:firstLine="0"/>
        <w:rPr>
          <w:rFonts w:ascii="仿宋" w:hAnsi="仿宋" w:eastAsia="仿宋" w:cs="仿宋"/>
          <w:sz w:val="24"/>
          <w:szCs w:val="24"/>
        </w:rPr>
      </w:pPr>
      <w:r>
        <w:rPr>
          <w:rFonts w:hint="eastAsia" w:ascii="仿宋" w:hAnsi="仿宋" w:eastAsia="仿宋" w:cs="仿宋"/>
          <w:sz w:val="24"/>
          <w:szCs w:val="24"/>
        </w:rPr>
        <w:t xml:space="preserve">    文件、目录访问控制；</w:t>
      </w:r>
    </w:p>
    <w:p>
      <w:pPr>
        <w:ind w:firstLine="0"/>
        <w:rPr>
          <w:rFonts w:ascii="仿宋" w:hAnsi="仿宋" w:eastAsia="仿宋" w:cs="仿宋"/>
          <w:sz w:val="24"/>
          <w:szCs w:val="24"/>
        </w:rPr>
      </w:pPr>
      <w:r>
        <w:rPr>
          <w:rFonts w:hint="eastAsia" w:ascii="仿宋" w:hAnsi="仿宋" w:eastAsia="仿宋" w:cs="仿宋"/>
          <w:sz w:val="24"/>
          <w:szCs w:val="24"/>
        </w:rPr>
        <w:t xml:space="preserve">    关键系统服务安全配置；</w:t>
      </w:r>
    </w:p>
    <w:p>
      <w:pPr>
        <w:ind w:firstLine="0"/>
        <w:rPr>
          <w:rFonts w:ascii="仿宋" w:hAnsi="仿宋" w:eastAsia="仿宋" w:cs="仿宋"/>
          <w:sz w:val="24"/>
          <w:szCs w:val="24"/>
        </w:rPr>
      </w:pPr>
      <w:r>
        <w:rPr>
          <w:rFonts w:hint="eastAsia" w:ascii="仿宋" w:hAnsi="仿宋" w:eastAsia="仿宋" w:cs="仿宋"/>
          <w:sz w:val="24"/>
          <w:szCs w:val="24"/>
        </w:rPr>
        <w:t xml:space="preserve">    安全日志策略。</w:t>
      </w:r>
    </w:p>
    <w:p>
      <w:pPr>
        <w:ind w:firstLine="0"/>
        <w:rPr>
          <w:rFonts w:ascii="仿宋" w:hAnsi="仿宋" w:eastAsia="仿宋" w:cs="仿宋"/>
          <w:b/>
          <w:sz w:val="24"/>
          <w:szCs w:val="24"/>
        </w:rPr>
      </w:pPr>
      <w:r>
        <w:rPr>
          <w:rFonts w:hint="eastAsia" w:ascii="仿宋" w:hAnsi="仿宋" w:eastAsia="仿宋" w:cs="仿宋"/>
          <w:b/>
          <w:sz w:val="24"/>
          <w:szCs w:val="24"/>
        </w:rPr>
        <w:t xml:space="preserve">    数据库系统主要从以下方面进行安全加固和优化：</w:t>
      </w:r>
    </w:p>
    <w:p>
      <w:pPr>
        <w:ind w:firstLine="0"/>
        <w:rPr>
          <w:rFonts w:ascii="仿宋" w:hAnsi="仿宋" w:eastAsia="仿宋" w:cs="仿宋"/>
          <w:sz w:val="24"/>
          <w:szCs w:val="24"/>
        </w:rPr>
      </w:pPr>
      <w:r>
        <w:rPr>
          <w:rFonts w:hint="eastAsia" w:ascii="仿宋" w:hAnsi="仿宋" w:eastAsia="仿宋" w:cs="仿宋"/>
          <w:sz w:val="24"/>
          <w:szCs w:val="24"/>
        </w:rPr>
        <w:t xml:space="preserve">    安全补丁的选择性安装；</w:t>
      </w:r>
    </w:p>
    <w:p>
      <w:pPr>
        <w:ind w:firstLine="0"/>
        <w:rPr>
          <w:rFonts w:ascii="仿宋" w:hAnsi="仿宋" w:eastAsia="仿宋" w:cs="仿宋"/>
          <w:sz w:val="24"/>
          <w:szCs w:val="24"/>
        </w:rPr>
      </w:pPr>
      <w:r>
        <w:rPr>
          <w:rFonts w:hint="eastAsia" w:ascii="仿宋" w:hAnsi="仿宋" w:eastAsia="仿宋" w:cs="仿宋"/>
          <w:sz w:val="24"/>
          <w:szCs w:val="24"/>
        </w:rPr>
        <w:t xml:space="preserve">    最小服务原则的贯彻，禁用不必要的服务模块；</w:t>
      </w:r>
    </w:p>
    <w:p>
      <w:pPr>
        <w:ind w:firstLine="0"/>
        <w:rPr>
          <w:rFonts w:ascii="仿宋" w:hAnsi="仿宋" w:eastAsia="仿宋" w:cs="仿宋"/>
          <w:sz w:val="24"/>
          <w:szCs w:val="24"/>
        </w:rPr>
      </w:pPr>
      <w:r>
        <w:rPr>
          <w:rFonts w:hint="eastAsia" w:ascii="仿宋" w:hAnsi="仿宋" w:eastAsia="仿宋" w:cs="仿宋"/>
          <w:sz w:val="24"/>
          <w:szCs w:val="24"/>
        </w:rPr>
        <w:t xml:space="preserve">    最小授权原则的贯彻，细化用户访问不同数据库、数据表的授权原则；</w:t>
      </w:r>
    </w:p>
    <w:p>
      <w:pPr>
        <w:ind w:firstLine="0"/>
        <w:rPr>
          <w:rFonts w:ascii="仿宋" w:hAnsi="仿宋" w:eastAsia="仿宋" w:cs="仿宋"/>
          <w:sz w:val="24"/>
          <w:szCs w:val="24"/>
        </w:rPr>
      </w:pPr>
      <w:r>
        <w:rPr>
          <w:rFonts w:hint="eastAsia" w:ascii="仿宋" w:hAnsi="仿宋" w:eastAsia="仿宋" w:cs="仿宋"/>
          <w:sz w:val="24"/>
          <w:szCs w:val="24"/>
        </w:rPr>
        <w:t xml:space="preserve">    数据库系统默认</w:t>
      </w:r>
      <w:r>
        <w:rPr>
          <w:rFonts w:hint="eastAsia" w:ascii="仿宋" w:hAnsi="仿宋" w:eastAsia="仿宋" w:cs="仿宋"/>
          <w:sz w:val="24"/>
          <w:szCs w:val="24"/>
          <w:lang w:val="en-US" w:eastAsia="zh-CN"/>
        </w:rPr>
        <w:t>账号</w:t>
      </w:r>
      <w:r>
        <w:rPr>
          <w:rFonts w:hint="eastAsia" w:ascii="仿宋" w:hAnsi="仿宋" w:eastAsia="仿宋" w:cs="仿宋"/>
          <w:sz w:val="24"/>
          <w:szCs w:val="24"/>
        </w:rPr>
        <w:t>的禁用或调整；</w:t>
      </w:r>
    </w:p>
    <w:p>
      <w:pPr>
        <w:ind w:firstLine="0"/>
        <w:rPr>
          <w:rFonts w:ascii="仿宋" w:hAnsi="仿宋" w:eastAsia="仿宋" w:cs="仿宋"/>
          <w:sz w:val="24"/>
          <w:szCs w:val="24"/>
        </w:rPr>
      </w:pPr>
      <w:r>
        <w:rPr>
          <w:rFonts w:hint="eastAsia" w:ascii="仿宋" w:hAnsi="仿宋" w:eastAsia="仿宋" w:cs="仿宋"/>
          <w:sz w:val="24"/>
          <w:szCs w:val="24"/>
        </w:rPr>
        <w:t xml:space="preserve">    数据库系统</w:t>
      </w:r>
      <w:r>
        <w:rPr>
          <w:rFonts w:hint="eastAsia" w:ascii="仿宋" w:hAnsi="仿宋" w:eastAsia="仿宋" w:cs="仿宋"/>
          <w:sz w:val="24"/>
          <w:szCs w:val="24"/>
          <w:lang w:val="en-US" w:eastAsia="zh-CN"/>
        </w:rPr>
        <w:t>账号</w:t>
      </w:r>
      <w:r>
        <w:rPr>
          <w:rFonts w:hint="eastAsia" w:ascii="仿宋" w:hAnsi="仿宋" w:eastAsia="仿宋" w:cs="仿宋"/>
          <w:sz w:val="24"/>
          <w:szCs w:val="24"/>
        </w:rPr>
        <w:t>、密码安全策略；</w:t>
      </w:r>
    </w:p>
    <w:p>
      <w:pPr>
        <w:ind w:firstLine="0"/>
        <w:rPr>
          <w:rFonts w:ascii="仿宋" w:hAnsi="仿宋" w:eastAsia="仿宋" w:cs="仿宋"/>
          <w:sz w:val="24"/>
          <w:szCs w:val="24"/>
        </w:rPr>
      </w:pPr>
      <w:r>
        <w:rPr>
          <w:rFonts w:hint="eastAsia" w:ascii="仿宋" w:hAnsi="仿宋" w:eastAsia="仿宋" w:cs="仿宋"/>
          <w:sz w:val="24"/>
          <w:szCs w:val="24"/>
        </w:rPr>
        <w:t xml:space="preserve">    数据库系统认证和审核策略配置；</w:t>
      </w:r>
      <w:bookmarkStart w:id="54" w:name="_GoBack"/>
      <w:bookmarkEnd w:id="54"/>
    </w:p>
    <w:p>
      <w:pPr>
        <w:ind w:firstLine="0"/>
        <w:rPr>
          <w:rFonts w:ascii="仿宋" w:hAnsi="仿宋" w:eastAsia="仿宋" w:cs="仿宋"/>
          <w:sz w:val="24"/>
          <w:szCs w:val="24"/>
        </w:rPr>
      </w:pPr>
      <w:r>
        <w:rPr>
          <w:rFonts w:hint="eastAsia" w:ascii="仿宋" w:hAnsi="仿宋" w:eastAsia="仿宋" w:cs="仿宋"/>
          <w:sz w:val="24"/>
          <w:szCs w:val="24"/>
        </w:rPr>
        <w:t xml:space="preserve">    MS SQL Server扩展存储过程的调整；</w:t>
      </w:r>
    </w:p>
    <w:p>
      <w:pPr>
        <w:ind w:firstLine="0"/>
        <w:rPr>
          <w:rFonts w:ascii="仿宋" w:hAnsi="仿宋" w:eastAsia="仿宋" w:cs="仿宋"/>
          <w:sz w:val="24"/>
          <w:szCs w:val="24"/>
        </w:rPr>
      </w:pPr>
      <w:r>
        <w:rPr>
          <w:rFonts w:hint="eastAsia" w:ascii="仿宋" w:hAnsi="仿宋" w:eastAsia="仿宋" w:cs="仿宋"/>
          <w:sz w:val="24"/>
          <w:szCs w:val="24"/>
        </w:rPr>
        <w:t xml:space="preserve">    MS SQL Server注册表访问过程的调整；</w:t>
      </w:r>
    </w:p>
    <w:p>
      <w:pPr>
        <w:ind w:firstLine="0"/>
        <w:rPr>
          <w:rFonts w:ascii="仿宋" w:hAnsi="仿宋" w:eastAsia="仿宋" w:cs="仿宋"/>
          <w:sz w:val="24"/>
          <w:szCs w:val="24"/>
        </w:rPr>
      </w:pPr>
      <w:r>
        <w:rPr>
          <w:rFonts w:hint="eastAsia" w:ascii="仿宋" w:hAnsi="仿宋" w:eastAsia="仿宋" w:cs="仿宋"/>
          <w:sz w:val="24"/>
          <w:szCs w:val="24"/>
        </w:rPr>
        <w:t xml:space="preserve">    MS SQL Server缓冲区溢出漏洞的安全加固；</w:t>
      </w:r>
    </w:p>
    <w:p>
      <w:pPr>
        <w:ind w:firstLine="0"/>
        <w:rPr>
          <w:rFonts w:ascii="仿宋" w:hAnsi="仿宋" w:eastAsia="仿宋" w:cs="仿宋"/>
          <w:sz w:val="24"/>
          <w:szCs w:val="24"/>
        </w:rPr>
      </w:pPr>
      <w:r>
        <w:rPr>
          <w:rFonts w:hint="eastAsia" w:ascii="仿宋" w:hAnsi="仿宋" w:eastAsia="仿宋" w:cs="仿宋"/>
          <w:sz w:val="24"/>
          <w:szCs w:val="24"/>
        </w:rPr>
        <w:t xml:space="preserve">    Oracle缓冲区溢出隐患的安全加固。</w:t>
      </w:r>
    </w:p>
    <w:p>
      <w:pPr>
        <w:ind w:firstLine="0"/>
        <w:rPr>
          <w:rFonts w:ascii="仿宋" w:hAnsi="仿宋" w:eastAsia="仿宋" w:cs="仿宋"/>
          <w:b/>
          <w:sz w:val="24"/>
          <w:szCs w:val="24"/>
        </w:rPr>
      </w:pPr>
      <w:r>
        <w:rPr>
          <w:rFonts w:hint="eastAsia" w:ascii="仿宋" w:hAnsi="仿宋" w:eastAsia="仿宋" w:cs="仿宋"/>
          <w:b/>
          <w:sz w:val="24"/>
          <w:szCs w:val="24"/>
        </w:rPr>
        <w:t xml:space="preserve">    应用系统主要从以下方面进行安全加固和优化：</w:t>
      </w:r>
    </w:p>
    <w:p>
      <w:pPr>
        <w:ind w:firstLine="0"/>
        <w:rPr>
          <w:rFonts w:ascii="仿宋" w:hAnsi="仿宋" w:eastAsia="仿宋" w:cs="仿宋"/>
          <w:sz w:val="24"/>
          <w:szCs w:val="24"/>
        </w:rPr>
      </w:pPr>
      <w:r>
        <w:rPr>
          <w:rFonts w:hint="eastAsia" w:ascii="仿宋" w:hAnsi="仿宋" w:eastAsia="仿宋" w:cs="仿宋"/>
          <w:sz w:val="24"/>
          <w:szCs w:val="24"/>
        </w:rPr>
        <w:t xml:space="preserve">    安全补丁的选择性安装；</w:t>
      </w:r>
    </w:p>
    <w:p>
      <w:pPr>
        <w:ind w:firstLine="0"/>
        <w:rPr>
          <w:rFonts w:ascii="仿宋" w:hAnsi="仿宋" w:eastAsia="仿宋" w:cs="仿宋"/>
          <w:sz w:val="24"/>
          <w:szCs w:val="24"/>
        </w:rPr>
      </w:pPr>
      <w:r>
        <w:rPr>
          <w:rFonts w:hint="eastAsia" w:ascii="仿宋" w:hAnsi="仿宋" w:eastAsia="仿宋" w:cs="仿宋"/>
          <w:sz w:val="24"/>
          <w:szCs w:val="24"/>
        </w:rPr>
        <w:t xml:space="preserve">    最小服务原则的贯彻，禁用不必要的服务模块；</w:t>
      </w:r>
    </w:p>
    <w:p>
      <w:pPr>
        <w:ind w:firstLine="0"/>
        <w:rPr>
          <w:rFonts w:ascii="仿宋" w:hAnsi="仿宋" w:eastAsia="仿宋" w:cs="仿宋"/>
          <w:sz w:val="24"/>
          <w:szCs w:val="24"/>
        </w:rPr>
      </w:pPr>
      <w:r>
        <w:rPr>
          <w:rFonts w:hint="eastAsia" w:ascii="仿宋" w:hAnsi="仿宋" w:eastAsia="仿宋" w:cs="仿宋"/>
          <w:sz w:val="24"/>
          <w:szCs w:val="24"/>
        </w:rPr>
        <w:t xml:space="preserve">    最小授权原则的贯彻，尽量削弱应用系统服务的运行权限；</w:t>
      </w:r>
    </w:p>
    <w:p>
      <w:pPr>
        <w:ind w:firstLine="0"/>
        <w:rPr>
          <w:rFonts w:ascii="仿宋" w:hAnsi="仿宋" w:eastAsia="仿宋" w:cs="仿宋"/>
          <w:sz w:val="24"/>
          <w:szCs w:val="24"/>
        </w:rPr>
      </w:pPr>
      <w:r>
        <w:rPr>
          <w:rFonts w:hint="eastAsia" w:ascii="仿宋" w:hAnsi="仿宋" w:eastAsia="仿宋" w:cs="仿宋"/>
          <w:sz w:val="24"/>
          <w:szCs w:val="24"/>
        </w:rPr>
        <w:t xml:space="preserve">    IIS的针对性安全加固和优化；</w:t>
      </w:r>
    </w:p>
    <w:p>
      <w:pPr>
        <w:ind w:firstLine="0"/>
        <w:rPr>
          <w:rFonts w:ascii="仿宋" w:hAnsi="仿宋" w:eastAsia="仿宋" w:cs="仿宋"/>
          <w:sz w:val="24"/>
          <w:szCs w:val="24"/>
        </w:rPr>
      </w:pPr>
      <w:r>
        <w:rPr>
          <w:rFonts w:hint="eastAsia" w:ascii="仿宋" w:hAnsi="仿宋" w:eastAsia="仿宋" w:cs="仿宋"/>
          <w:sz w:val="24"/>
          <w:szCs w:val="24"/>
        </w:rPr>
        <w:t xml:space="preserve">    Tomcat的安全加固和优化；</w:t>
      </w:r>
    </w:p>
    <w:p>
      <w:pPr>
        <w:ind w:firstLine="0"/>
        <w:rPr>
          <w:rFonts w:ascii="仿宋" w:hAnsi="仿宋" w:eastAsia="仿宋" w:cs="仿宋"/>
          <w:sz w:val="24"/>
          <w:szCs w:val="24"/>
        </w:rPr>
      </w:pPr>
      <w:r>
        <w:rPr>
          <w:rFonts w:hint="eastAsia" w:ascii="仿宋" w:hAnsi="仿宋" w:eastAsia="仿宋" w:cs="仿宋"/>
          <w:sz w:val="24"/>
          <w:szCs w:val="24"/>
        </w:rPr>
        <w:t xml:space="preserve">    WebLogic的针对性安全加固和优化；</w:t>
      </w:r>
    </w:p>
    <w:p>
      <w:pPr>
        <w:ind w:firstLine="0"/>
        <w:rPr>
          <w:rFonts w:ascii="仿宋" w:hAnsi="仿宋" w:eastAsia="仿宋" w:cs="仿宋"/>
          <w:sz w:val="24"/>
          <w:szCs w:val="24"/>
        </w:rPr>
      </w:pPr>
      <w:r>
        <w:rPr>
          <w:rFonts w:hint="eastAsia" w:ascii="仿宋" w:hAnsi="仿宋" w:eastAsia="仿宋" w:cs="仿宋"/>
          <w:sz w:val="24"/>
          <w:szCs w:val="24"/>
        </w:rPr>
        <w:t xml:space="preserve">    Foxmail的针对性安全加固和优化。</w:t>
      </w:r>
    </w:p>
    <w:p>
      <w:pPr>
        <w:ind w:firstLine="0"/>
        <w:rPr>
          <w:rFonts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网络设备安全和网络安全防护策略优化加固：</w:t>
      </w:r>
    </w:p>
    <w:p>
      <w:pPr>
        <w:ind w:firstLine="0"/>
        <w:rPr>
          <w:rFonts w:ascii="仿宋" w:hAnsi="仿宋" w:eastAsia="仿宋" w:cs="仿宋"/>
          <w:sz w:val="24"/>
          <w:szCs w:val="24"/>
        </w:rPr>
      </w:pPr>
      <w:r>
        <w:rPr>
          <w:rFonts w:hint="eastAsia" w:ascii="仿宋" w:hAnsi="仿宋" w:eastAsia="仿宋" w:cs="仿宋"/>
          <w:sz w:val="24"/>
          <w:szCs w:val="24"/>
        </w:rPr>
        <w:t xml:space="preserve">    Internet、Intranet和Extranet之间及它们内部各VLAN或区域之间边界划分是否合理；</w:t>
      </w:r>
    </w:p>
    <w:p>
      <w:pPr>
        <w:ind w:firstLine="0"/>
        <w:rPr>
          <w:rFonts w:ascii="仿宋" w:hAnsi="仿宋" w:eastAsia="仿宋" w:cs="仿宋"/>
          <w:sz w:val="24"/>
          <w:szCs w:val="24"/>
        </w:rPr>
      </w:pPr>
      <w:r>
        <w:rPr>
          <w:rFonts w:hint="eastAsia" w:ascii="仿宋" w:hAnsi="仿宋" w:eastAsia="仿宋" w:cs="仿宋"/>
          <w:sz w:val="24"/>
          <w:szCs w:val="24"/>
        </w:rPr>
        <w:t xml:space="preserve">    在网络节点（如路由器、交换机、防火墙等设备）互连互通应根据实际需求进行严格控制；</w:t>
      </w:r>
    </w:p>
    <w:p>
      <w:pPr>
        <w:ind w:firstLine="0"/>
        <w:rPr>
          <w:rFonts w:ascii="仿宋" w:hAnsi="仿宋" w:eastAsia="仿宋" w:cs="仿宋"/>
          <w:sz w:val="24"/>
          <w:szCs w:val="24"/>
        </w:rPr>
      </w:pPr>
      <w:r>
        <w:rPr>
          <w:rFonts w:hint="eastAsia" w:ascii="仿宋" w:hAnsi="仿宋" w:eastAsia="仿宋" w:cs="仿宋"/>
          <w:sz w:val="24"/>
          <w:szCs w:val="24"/>
        </w:rPr>
        <w:t xml:space="preserve">    验证设备当前配置的有效策略是否符合组织确定的安全策略。</w:t>
      </w:r>
      <w:bookmarkStart w:id="46" w:name="_Toc1449866867"/>
    </w:p>
    <w:p>
      <w:pPr>
        <w:ind w:firstLine="0"/>
        <w:rPr>
          <w:rFonts w:ascii="仿宋" w:hAnsi="仿宋" w:eastAsia="仿宋" w:cs="仿宋"/>
          <w:sz w:val="24"/>
          <w:szCs w:val="24"/>
        </w:rPr>
      </w:pPr>
      <w:r>
        <w:rPr>
          <w:rFonts w:hint="eastAsia" w:ascii="仿宋" w:hAnsi="仿宋" w:eastAsia="仿宋" w:cs="仿宋"/>
          <w:sz w:val="24"/>
          <w:szCs w:val="24"/>
        </w:rPr>
        <w:t>2、服务周期</w:t>
      </w:r>
      <w:bookmarkEnd w:id="46"/>
    </w:p>
    <w:p>
      <w:pPr>
        <w:ind w:firstLine="0"/>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协助加固</w:t>
      </w:r>
      <w:r>
        <w:rPr>
          <w:rFonts w:hint="eastAsia" w:ascii="仿宋" w:hAnsi="仿宋" w:eastAsia="仿宋" w:cs="仿宋"/>
          <w:sz w:val="24"/>
          <w:szCs w:val="24"/>
        </w:rPr>
        <w:t>服务周期</w:t>
      </w:r>
      <w:r>
        <w:rPr>
          <w:rFonts w:ascii="仿宋" w:hAnsi="仿宋" w:eastAsia="仿宋" w:cs="仿宋"/>
          <w:sz w:val="24"/>
          <w:szCs w:val="24"/>
        </w:rPr>
        <w:t>每季度</w:t>
      </w:r>
      <w:r>
        <w:rPr>
          <w:rFonts w:hint="eastAsia" w:ascii="仿宋" w:hAnsi="仿宋" w:eastAsia="仿宋" w:cs="仿宋"/>
          <w:sz w:val="24"/>
          <w:szCs w:val="24"/>
        </w:rPr>
        <w:t>1次</w:t>
      </w:r>
      <w:r>
        <w:rPr>
          <w:rFonts w:ascii="仿宋" w:hAnsi="仿宋" w:eastAsia="仿宋" w:cs="仿宋"/>
          <w:sz w:val="24"/>
          <w:szCs w:val="24"/>
        </w:rPr>
        <w:t>，一年4次。</w:t>
      </w:r>
      <w:bookmarkStart w:id="47" w:name="_Toc415491160"/>
    </w:p>
    <w:p>
      <w:pPr>
        <w:ind w:firstLine="0"/>
        <w:rPr>
          <w:rFonts w:ascii="仿宋" w:hAnsi="仿宋" w:eastAsia="仿宋" w:cs="仿宋"/>
          <w:sz w:val="24"/>
          <w:szCs w:val="24"/>
        </w:rPr>
      </w:pPr>
      <w:r>
        <w:rPr>
          <w:rFonts w:hint="eastAsia" w:ascii="仿宋" w:hAnsi="仿宋" w:eastAsia="仿宋" w:cs="仿宋"/>
          <w:sz w:val="24"/>
          <w:szCs w:val="24"/>
        </w:rPr>
        <w:t>3、成果输出</w:t>
      </w:r>
      <w:bookmarkEnd w:id="47"/>
    </w:p>
    <w:p>
      <w:pPr>
        <w:ind w:firstLine="0"/>
        <w:rPr>
          <w:rFonts w:ascii="仿宋" w:hAnsi="仿宋" w:eastAsia="仿宋" w:cs="仿宋"/>
          <w:sz w:val="24"/>
          <w:szCs w:val="24"/>
        </w:rPr>
      </w:pPr>
      <w:r>
        <w:rPr>
          <w:rFonts w:hint="eastAsia" w:ascii="仿宋" w:hAnsi="仿宋" w:eastAsia="仿宋" w:cs="仿宋"/>
          <w:sz w:val="24"/>
          <w:szCs w:val="24"/>
        </w:rPr>
        <w:t xml:space="preserve">    交付物包括但不仅限于以下文档：</w:t>
      </w:r>
    </w:p>
    <w:p>
      <w:pPr>
        <w:ind w:firstLine="0"/>
        <w:rPr>
          <w:rFonts w:ascii="仿宋" w:hAnsi="仿宋" w:eastAsia="仿宋" w:cs="仿宋"/>
          <w:sz w:val="24"/>
          <w:szCs w:val="24"/>
        </w:rPr>
      </w:pPr>
      <w:r>
        <w:rPr>
          <w:rFonts w:hint="eastAsia" w:ascii="仿宋" w:hAnsi="仿宋" w:eastAsia="仿宋" w:cs="仿宋"/>
          <w:sz w:val="24"/>
          <w:szCs w:val="24"/>
        </w:rPr>
        <w:t xml:space="preserve">    《安全评估报告》</w:t>
      </w:r>
      <w:r>
        <w:rPr>
          <w:rFonts w:ascii="仿宋" w:hAnsi="仿宋" w:eastAsia="仿宋" w:cs="仿宋"/>
          <w:sz w:val="24"/>
          <w:szCs w:val="24"/>
        </w:rPr>
        <w:t>、</w:t>
      </w:r>
      <w:r>
        <w:rPr>
          <w:rFonts w:hint="eastAsia" w:ascii="仿宋" w:hAnsi="仿宋" w:eastAsia="仿宋" w:cs="仿宋"/>
          <w:sz w:val="24"/>
          <w:szCs w:val="24"/>
        </w:rPr>
        <w:t>《安全整改报告》</w:t>
      </w:r>
      <w:bookmarkStart w:id="48" w:name="_Toc1690589723"/>
    </w:p>
    <w:p>
      <w:pPr>
        <w:ind w:firstLine="0"/>
        <w:rPr>
          <w:rFonts w:ascii="仿宋" w:hAnsi="仿宋" w:eastAsia="仿宋" w:cs="仿宋"/>
          <w:sz w:val="24"/>
          <w:szCs w:val="24"/>
        </w:rPr>
      </w:pPr>
      <w:r>
        <w:rPr>
          <w:rFonts w:hint="eastAsia" w:ascii="仿宋" w:hAnsi="仿宋" w:eastAsia="仿宋" w:cs="仿宋"/>
          <w:sz w:val="24"/>
          <w:szCs w:val="24"/>
        </w:rPr>
        <w:t>（六）配合上级部门检查服务</w:t>
      </w:r>
      <w:bookmarkEnd w:id="48"/>
      <w:bookmarkStart w:id="49" w:name="_Toc385341004"/>
    </w:p>
    <w:p>
      <w:pPr>
        <w:ind w:firstLine="0"/>
        <w:rPr>
          <w:rFonts w:ascii="仿宋" w:hAnsi="仿宋" w:eastAsia="仿宋" w:cs="仿宋"/>
          <w:sz w:val="24"/>
          <w:szCs w:val="24"/>
        </w:rPr>
      </w:pPr>
      <w:r>
        <w:rPr>
          <w:rFonts w:hint="eastAsia" w:ascii="仿宋" w:hAnsi="仿宋" w:eastAsia="仿宋" w:cs="仿宋"/>
          <w:sz w:val="24"/>
          <w:szCs w:val="24"/>
        </w:rPr>
        <w:t>1、服务内容</w:t>
      </w:r>
      <w:bookmarkEnd w:id="49"/>
    </w:p>
    <w:p>
      <w:pPr>
        <w:ind w:firstLine="0"/>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配合中心进行上级部门安全检查，协助安全检查资料收集、整理、并根据实际需求填写安全检查报告及填报对应检查系统，并最后完成对应总结报告。</w:t>
      </w:r>
      <w:bookmarkStart w:id="50" w:name="_Toc1763058523"/>
      <w:r>
        <w:rPr>
          <w:rFonts w:hint="eastAsia" w:ascii="仿宋" w:hAnsi="仿宋" w:eastAsia="仿宋" w:cs="仿宋"/>
          <w:sz w:val="24"/>
          <w:szCs w:val="24"/>
        </w:rPr>
        <w:t>2、服务周期</w:t>
      </w:r>
      <w:bookmarkEnd w:id="50"/>
    </w:p>
    <w:p>
      <w:pPr>
        <w:ind w:firstLine="0"/>
        <w:rPr>
          <w:rFonts w:ascii="仿宋" w:hAnsi="仿宋" w:eastAsia="仿宋" w:cs="仿宋"/>
          <w:sz w:val="24"/>
          <w:szCs w:val="24"/>
        </w:rPr>
      </w:pPr>
      <w:r>
        <w:rPr>
          <w:rFonts w:hint="eastAsia" w:ascii="仿宋" w:hAnsi="仿宋" w:eastAsia="仿宋" w:cs="仿宋"/>
          <w:sz w:val="24"/>
          <w:szCs w:val="24"/>
        </w:rPr>
        <w:t xml:space="preserve">    按照监管单位需求</w:t>
      </w:r>
      <w:r>
        <w:rPr>
          <w:rFonts w:ascii="仿宋" w:hAnsi="仿宋" w:eastAsia="仿宋" w:cs="仿宋"/>
          <w:sz w:val="24"/>
          <w:szCs w:val="24"/>
        </w:rPr>
        <w:t>，</w:t>
      </w:r>
      <w:r>
        <w:rPr>
          <w:rFonts w:hint="eastAsia" w:ascii="仿宋" w:hAnsi="仿宋" w:eastAsia="仿宋" w:cs="仿宋"/>
          <w:sz w:val="24"/>
          <w:szCs w:val="24"/>
        </w:rPr>
        <w:t>配合完成检查</w:t>
      </w:r>
      <w:r>
        <w:rPr>
          <w:rFonts w:ascii="仿宋" w:hAnsi="仿宋" w:eastAsia="仿宋" w:cs="仿宋"/>
          <w:sz w:val="24"/>
          <w:szCs w:val="24"/>
        </w:rPr>
        <w:t>。</w:t>
      </w:r>
      <w:bookmarkStart w:id="51" w:name="_Toc745234755"/>
    </w:p>
    <w:p>
      <w:pPr>
        <w:ind w:firstLine="0"/>
        <w:rPr>
          <w:rFonts w:ascii="仿宋" w:hAnsi="仿宋" w:eastAsia="仿宋" w:cs="仿宋"/>
          <w:sz w:val="24"/>
          <w:szCs w:val="24"/>
        </w:rPr>
      </w:pPr>
      <w:r>
        <w:rPr>
          <w:rFonts w:hint="eastAsia" w:ascii="仿宋" w:hAnsi="仿宋" w:eastAsia="仿宋" w:cs="仿宋"/>
          <w:sz w:val="24"/>
          <w:szCs w:val="24"/>
        </w:rPr>
        <w:t>3、成果输出</w:t>
      </w:r>
      <w:bookmarkEnd w:id="51"/>
    </w:p>
    <w:p>
      <w:pPr>
        <w:ind w:firstLine="0"/>
        <w:rPr>
          <w:rFonts w:ascii="仿宋" w:hAnsi="仿宋" w:eastAsia="仿宋" w:cs="仿宋"/>
          <w:sz w:val="24"/>
          <w:szCs w:val="24"/>
        </w:rPr>
      </w:pPr>
      <w:r>
        <w:rPr>
          <w:rFonts w:hint="eastAsia" w:ascii="仿宋" w:hAnsi="仿宋" w:eastAsia="仿宋" w:cs="仿宋"/>
          <w:sz w:val="24"/>
          <w:szCs w:val="24"/>
        </w:rPr>
        <w:t xml:space="preserve">    交付物包括但不仅限于以下文档：</w:t>
      </w:r>
    </w:p>
    <w:p>
      <w:pPr>
        <w:ind w:firstLine="0"/>
        <w:rPr>
          <w:rFonts w:ascii="仿宋" w:hAnsi="仿宋" w:eastAsia="仿宋" w:cs="仿宋"/>
          <w:sz w:val="24"/>
          <w:szCs w:val="24"/>
        </w:rPr>
      </w:pPr>
      <w:r>
        <w:rPr>
          <w:rFonts w:hint="eastAsia" w:ascii="仿宋" w:hAnsi="仿宋" w:eastAsia="仿宋" w:cs="仿宋"/>
          <w:sz w:val="24"/>
          <w:szCs w:val="24"/>
        </w:rPr>
        <w:t xml:space="preserve">    《安全检查报告》</w:t>
      </w:r>
    </w:p>
    <w:p>
      <w:pPr>
        <w:pStyle w:val="2"/>
        <w:rPr>
          <w:rFonts w:ascii="仿宋" w:hAnsi="仿宋" w:eastAsia="仿宋" w:cs="仿宋"/>
          <w:sz w:val="24"/>
          <w:szCs w:val="24"/>
        </w:rPr>
        <w:sectPr>
          <w:footerReference r:id="rId3" w:type="default"/>
          <w:pgSz w:w="11906" w:h="16838"/>
          <w:pgMar w:top="1440" w:right="1800" w:bottom="1440" w:left="1800" w:header="851" w:footer="1077" w:gutter="0"/>
          <w:cols w:space="425" w:num="1"/>
          <w:docGrid w:type="lines" w:linePitch="435" w:charSpace="0"/>
        </w:sectPr>
      </w:pPr>
    </w:p>
    <w:p>
      <w:pPr>
        <w:ind w:firstLine="0"/>
        <w:rPr>
          <w:rFonts w:ascii="仿宋" w:hAnsi="仿宋" w:eastAsia="仿宋" w:cs="仿宋"/>
          <w:b/>
          <w:sz w:val="24"/>
          <w:szCs w:val="24"/>
        </w:rPr>
      </w:pPr>
      <w:bookmarkStart w:id="52" w:name="_Toc1035897981"/>
      <w:r>
        <w:rPr>
          <w:rFonts w:hint="eastAsia" w:ascii="仿宋" w:hAnsi="仿宋" w:eastAsia="仿宋" w:cs="仿宋"/>
          <w:b/>
          <w:sz w:val="24"/>
          <w:szCs w:val="24"/>
        </w:rPr>
        <w:t>三、网络安全运维服务清单</w:t>
      </w:r>
      <w:bookmarkEnd w:id="52"/>
    </w:p>
    <w:p>
      <w:pPr>
        <w:pStyle w:val="2"/>
      </w:pPr>
    </w:p>
    <w:tbl>
      <w:tblPr>
        <w:tblStyle w:val="17"/>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8"/>
        <w:gridCol w:w="1175"/>
        <w:gridCol w:w="141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7" w:hRule="atLeast"/>
        </w:trPr>
        <w:tc>
          <w:tcPr>
            <w:tcW w:w="1108" w:type="dxa"/>
            <w:shd w:val="clear" w:color="auto" w:fill="F2F2F2"/>
            <w:vAlign w:val="center"/>
          </w:tcPr>
          <w:p>
            <w:pPr>
              <w:ind w:firstLine="0"/>
              <w:rPr>
                <w:rFonts w:ascii="仿宋" w:hAnsi="仿宋" w:eastAsia="仿宋" w:cs="仿宋"/>
                <w:sz w:val="24"/>
                <w:szCs w:val="24"/>
              </w:rPr>
            </w:pPr>
            <w:r>
              <w:rPr>
                <w:rFonts w:ascii="仿宋" w:hAnsi="仿宋" w:eastAsia="仿宋" w:cs="仿宋"/>
                <w:sz w:val="24"/>
                <w:szCs w:val="24"/>
              </w:rPr>
              <w:t>序号</w:t>
            </w:r>
          </w:p>
        </w:tc>
        <w:tc>
          <w:tcPr>
            <w:tcW w:w="1175" w:type="dxa"/>
            <w:shd w:val="clear" w:color="auto" w:fill="F2F2F2"/>
            <w:vAlign w:val="center"/>
          </w:tcPr>
          <w:p>
            <w:pPr>
              <w:ind w:firstLine="0"/>
              <w:rPr>
                <w:rFonts w:ascii="仿宋" w:hAnsi="仿宋" w:eastAsia="仿宋" w:cs="仿宋"/>
                <w:sz w:val="24"/>
                <w:szCs w:val="24"/>
              </w:rPr>
            </w:pPr>
            <w:r>
              <w:rPr>
                <w:rFonts w:ascii="仿宋" w:hAnsi="仿宋" w:eastAsia="仿宋" w:cs="仿宋"/>
                <w:sz w:val="24"/>
                <w:szCs w:val="24"/>
              </w:rPr>
              <w:t>服务描述</w:t>
            </w:r>
          </w:p>
        </w:tc>
        <w:tc>
          <w:tcPr>
            <w:tcW w:w="1418" w:type="dxa"/>
            <w:shd w:val="clear" w:color="auto" w:fill="F2F2F2"/>
            <w:vAlign w:val="center"/>
          </w:tcPr>
          <w:p>
            <w:pPr>
              <w:ind w:firstLine="0"/>
              <w:rPr>
                <w:rFonts w:ascii="仿宋" w:hAnsi="仿宋" w:eastAsia="仿宋" w:cs="仿宋"/>
                <w:sz w:val="24"/>
                <w:szCs w:val="24"/>
              </w:rPr>
            </w:pPr>
            <w:r>
              <w:rPr>
                <w:rFonts w:ascii="仿宋" w:hAnsi="仿宋" w:eastAsia="仿宋" w:cs="仿宋"/>
                <w:sz w:val="24"/>
                <w:szCs w:val="24"/>
              </w:rPr>
              <w:t>服务内容</w:t>
            </w:r>
          </w:p>
        </w:tc>
        <w:tc>
          <w:tcPr>
            <w:tcW w:w="4678" w:type="dxa"/>
            <w:shd w:val="clear" w:color="auto" w:fill="F2F2F2"/>
            <w:vAlign w:val="center"/>
          </w:tcPr>
          <w:p>
            <w:pPr>
              <w:ind w:firstLine="0"/>
              <w:rPr>
                <w:rFonts w:ascii="仿宋" w:hAnsi="仿宋" w:eastAsia="仿宋" w:cs="仿宋"/>
                <w:sz w:val="24"/>
                <w:szCs w:val="24"/>
              </w:rPr>
            </w:pPr>
            <w:r>
              <w:rPr>
                <w:rFonts w:ascii="仿宋" w:hAnsi="仿宋" w:eastAsia="仿宋" w:cs="仿宋"/>
                <w:sz w:val="24"/>
                <w:szCs w:val="24"/>
              </w:rPr>
              <w:t>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7" w:hRule="atLeast"/>
        </w:trPr>
        <w:tc>
          <w:tcPr>
            <w:tcW w:w="1108"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1</w:t>
            </w:r>
          </w:p>
        </w:tc>
        <w:tc>
          <w:tcPr>
            <w:tcW w:w="1175"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安全巡检服务</w:t>
            </w: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服务内容</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定期对客户信息系统中包括安全设备进行全面地安全巡检，主要内容包括安全设备状态检查、安全设备配置检查、设备升级更新等。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7" w:hRule="atLeast"/>
        </w:trPr>
        <w:tc>
          <w:tcPr>
            <w:tcW w:w="1108" w:type="dxa"/>
            <w:vMerge w:val="continue"/>
            <w:shd w:val="clear" w:color="auto" w:fill="auto"/>
            <w:vAlign w:val="center"/>
          </w:tcPr>
          <w:p>
            <w:pPr>
              <w:ind w:firstLine="0"/>
              <w:rPr>
                <w:rFonts w:ascii="仿宋" w:hAnsi="仿宋" w:eastAsia="仿宋" w:cs="仿宋"/>
                <w:sz w:val="24"/>
                <w:szCs w:val="24"/>
              </w:rPr>
            </w:pPr>
          </w:p>
        </w:tc>
        <w:tc>
          <w:tcPr>
            <w:tcW w:w="1175" w:type="dxa"/>
            <w:vMerge w:val="continue"/>
            <w:shd w:val="clear" w:color="auto" w:fill="auto"/>
            <w:vAlign w:val="center"/>
          </w:tcPr>
          <w:p>
            <w:pPr>
              <w:ind w:firstLine="0"/>
              <w:rPr>
                <w:rFonts w:ascii="仿宋" w:hAnsi="仿宋" w:eastAsia="仿宋" w:cs="仿宋"/>
                <w:sz w:val="24"/>
                <w:szCs w:val="24"/>
              </w:rPr>
            </w:pP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服务周期</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每月1次，一年12次。提供两年服务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7" w:hRule="atLeast"/>
        </w:trPr>
        <w:tc>
          <w:tcPr>
            <w:tcW w:w="1108"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2</w:t>
            </w:r>
          </w:p>
        </w:tc>
        <w:tc>
          <w:tcPr>
            <w:tcW w:w="1175"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重保值守服务</w:t>
            </w: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服务内容</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在重要活动或关键时期，按要求派遣经验丰富的安全人员，提供现场安全保障和安全值守，按需完成每日保障支持、安全监控以及损失评估、外部攻击源追溯，内部脆弱性分析等应急处置任务。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7" w:hRule="atLeast"/>
        </w:trPr>
        <w:tc>
          <w:tcPr>
            <w:tcW w:w="1108" w:type="dxa"/>
            <w:vMerge w:val="continue"/>
            <w:shd w:val="clear" w:color="auto" w:fill="auto"/>
            <w:vAlign w:val="center"/>
          </w:tcPr>
          <w:p>
            <w:pPr>
              <w:ind w:firstLine="0"/>
              <w:rPr>
                <w:rFonts w:ascii="仿宋" w:hAnsi="仿宋" w:eastAsia="仿宋" w:cs="仿宋"/>
                <w:sz w:val="24"/>
                <w:szCs w:val="24"/>
              </w:rPr>
            </w:pPr>
          </w:p>
        </w:tc>
        <w:tc>
          <w:tcPr>
            <w:tcW w:w="1175" w:type="dxa"/>
            <w:vMerge w:val="continue"/>
            <w:shd w:val="clear" w:color="auto" w:fill="auto"/>
            <w:vAlign w:val="center"/>
          </w:tcPr>
          <w:p>
            <w:pPr>
              <w:ind w:firstLine="0"/>
              <w:rPr>
                <w:rFonts w:ascii="仿宋" w:hAnsi="仿宋" w:eastAsia="仿宋" w:cs="仿宋"/>
                <w:sz w:val="24"/>
                <w:szCs w:val="24"/>
              </w:rPr>
            </w:pP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服务周期</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每年保障至少3次。提供两年服务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7" w:hRule="atLeast"/>
        </w:trPr>
        <w:tc>
          <w:tcPr>
            <w:tcW w:w="1108"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3</w:t>
            </w:r>
          </w:p>
        </w:tc>
        <w:tc>
          <w:tcPr>
            <w:tcW w:w="1175"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安全培训服务</w:t>
            </w: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服务内容</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针对相关管理人员和技术人员进行安全意识、安全管理以及安全事件应急处置培训服务，提升网络安全方面的处置能力。。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7" w:hRule="atLeast"/>
        </w:trPr>
        <w:tc>
          <w:tcPr>
            <w:tcW w:w="1108" w:type="dxa"/>
            <w:vMerge w:val="continue"/>
            <w:shd w:val="clear" w:color="auto" w:fill="auto"/>
            <w:vAlign w:val="center"/>
          </w:tcPr>
          <w:p>
            <w:pPr>
              <w:ind w:firstLine="0"/>
              <w:rPr>
                <w:rFonts w:ascii="仿宋" w:hAnsi="仿宋" w:eastAsia="仿宋" w:cs="仿宋"/>
                <w:sz w:val="24"/>
                <w:szCs w:val="24"/>
              </w:rPr>
            </w:pPr>
          </w:p>
        </w:tc>
        <w:tc>
          <w:tcPr>
            <w:tcW w:w="1175" w:type="dxa"/>
            <w:vMerge w:val="continue"/>
            <w:shd w:val="clear" w:color="auto" w:fill="auto"/>
            <w:vAlign w:val="center"/>
          </w:tcPr>
          <w:p>
            <w:pPr>
              <w:ind w:firstLine="0"/>
              <w:rPr>
                <w:rFonts w:ascii="仿宋" w:hAnsi="仿宋" w:eastAsia="仿宋" w:cs="仿宋"/>
                <w:sz w:val="24"/>
                <w:szCs w:val="24"/>
              </w:rPr>
            </w:pP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服务周期</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每年至少2次。提供两年服务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6" w:hRule="atLeast"/>
        </w:trPr>
        <w:tc>
          <w:tcPr>
            <w:tcW w:w="1108"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4</w:t>
            </w:r>
          </w:p>
        </w:tc>
        <w:tc>
          <w:tcPr>
            <w:tcW w:w="1175"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应急响应服务</w:t>
            </w: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服务内容</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提供7*24小时现场专业应急响应服务，当安全威胁事件发生后迅速采取的措施和行动，以最快的速度恢复系统的可用性，阻止和降低安全威胁事件带来的严重性影响。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7" w:hRule="atLeast"/>
        </w:trPr>
        <w:tc>
          <w:tcPr>
            <w:tcW w:w="1108" w:type="dxa"/>
            <w:vMerge w:val="continue"/>
            <w:shd w:val="clear" w:color="auto" w:fill="auto"/>
            <w:vAlign w:val="center"/>
          </w:tcPr>
          <w:p>
            <w:pPr>
              <w:ind w:firstLine="0"/>
              <w:rPr>
                <w:rFonts w:ascii="仿宋" w:hAnsi="仿宋" w:eastAsia="仿宋" w:cs="仿宋"/>
                <w:sz w:val="24"/>
                <w:szCs w:val="24"/>
              </w:rPr>
            </w:pPr>
          </w:p>
        </w:tc>
        <w:tc>
          <w:tcPr>
            <w:tcW w:w="1175" w:type="dxa"/>
            <w:vMerge w:val="continue"/>
            <w:shd w:val="clear" w:color="auto" w:fill="auto"/>
            <w:vAlign w:val="center"/>
          </w:tcPr>
          <w:p>
            <w:pPr>
              <w:ind w:firstLine="0"/>
              <w:rPr>
                <w:rFonts w:ascii="仿宋" w:hAnsi="仿宋" w:eastAsia="仿宋" w:cs="仿宋"/>
                <w:sz w:val="24"/>
                <w:szCs w:val="24"/>
              </w:rPr>
            </w:pP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服务周期</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每年按需提供不少于20人天的现场应急服务，提供两年服务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7" w:hRule="atLeast"/>
        </w:trPr>
        <w:tc>
          <w:tcPr>
            <w:tcW w:w="1108"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5</w:t>
            </w:r>
          </w:p>
        </w:tc>
        <w:tc>
          <w:tcPr>
            <w:tcW w:w="1175"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网络安全评估及协助加固服务</w:t>
            </w: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服务内容</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服务人员使用商用安全评估工具对评估目标范围内对象进行漏洞扫描，并人工验证所发现的web应用漏洞、主机操作系统漏洞、数据库漏洞、逻辑缺陷、弱口令、信息泄露及配置不当等脆弱性问题。</w:t>
            </w:r>
            <w:r>
              <w:rPr>
                <w:rFonts w:ascii="仿宋" w:hAnsi="仿宋" w:eastAsia="仿宋" w:cs="仿宋"/>
                <w:sz w:val="24"/>
                <w:szCs w:val="24"/>
              </w:rPr>
              <w:br w:type="textWrapping"/>
            </w:r>
            <w:r>
              <w:rPr>
                <w:rFonts w:ascii="仿宋" w:hAnsi="仿宋" w:eastAsia="仿宋" w:cs="仿宋"/>
                <w:sz w:val="24"/>
                <w:szCs w:val="24"/>
              </w:rPr>
              <w:t>根据安全评估结果的具体情况，协助客户制定服务目标的加固建议，针对不同类型的目标系统，通过打补丁、修改安全配置、增加安全机制、建议添置安全设备等方法，合理加强服务目标的安全性。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7" w:hRule="atLeast"/>
        </w:trPr>
        <w:tc>
          <w:tcPr>
            <w:tcW w:w="1108" w:type="dxa"/>
            <w:vMerge w:val="continue"/>
            <w:shd w:val="clear" w:color="auto" w:fill="auto"/>
            <w:vAlign w:val="center"/>
          </w:tcPr>
          <w:p>
            <w:pPr>
              <w:ind w:firstLine="0"/>
              <w:rPr>
                <w:rFonts w:ascii="仿宋" w:hAnsi="仿宋" w:eastAsia="仿宋" w:cs="仿宋"/>
                <w:sz w:val="24"/>
                <w:szCs w:val="24"/>
              </w:rPr>
            </w:pPr>
          </w:p>
        </w:tc>
        <w:tc>
          <w:tcPr>
            <w:tcW w:w="1175" w:type="dxa"/>
            <w:vMerge w:val="continue"/>
            <w:shd w:val="clear" w:color="auto" w:fill="auto"/>
            <w:vAlign w:val="center"/>
          </w:tcPr>
          <w:p>
            <w:pPr>
              <w:ind w:firstLine="0"/>
              <w:rPr>
                <w:rFonts w:ascii="仿宋" w:hAnsi="仿宋" w:eastAsia="仿宋" w:cs="仿宋"/>
                <w:sz w:val="24"/>
                <w:szCs w:val="24"/>
              </w:rPr>
            </w:pP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服务周期</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每季度1次，提供两年服务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6" w:hRule="atLeast"/>
        </w:trPr>
        <w:tc>
          <w:tcPr>
            <w:tcW w:w="1108"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6</w:t>
            </w:r>
          </w:p>
        </w:tc>
        <w:tc>
          <w:tcPr>
            <w:tcW w:w="1175" w:type="dxa"/>
            <w:vMerge w:val="restart"/>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配合上级部门检查</w:t>
            </w: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服务内容</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配合中心进行上级部门安全检查，协助安全检查资料收集、整理、并根据实际需求填写安全检查报告及填报对应检查系统，并最后完成对应总结报告。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7" w:hRule="atLeast"/>
        </w:trPr>
        <w:tc>
          <w:tcPr>
            <w:tcW w:w="1108" w:type="dxa"/>
            <w:vMerge w:val="continue"/>
            <w:shd w:val="clear" w:color="auto" w:fill="auto"/>
            <w:vAlign w:val="center"/>
          </w:tcPr>
          <w:p>
            <w:pPr>
              <w:ind w:firstLine="0"/>
              <w:rPr>
                <w:rFonts w:ascii="仿宋" w:hAnsi="仿宋" w:eastAsia="仿宋" w:cs="仿宋"/>
                <w:sz w:val="24"/>
                <w:szCs w:val="24"/>
              </w:rPr>
            </w:pPr>
          </w:p>
        </w:tc>
        <w:tc>
          <w:tcPr>
            <w:tcW w:w="1175" w:type="dxa"/>
            <w:vMerge w:val="continue"/>
            <w:shd w:val="clear" w:color="auto" w:fill="auto"/>
            <w:vAlign w:val="center"/>
          </w:tcPr>
          <w:p>
            <w:pPr>
              <w:ind w:firstLine="0"/>
              <w:rPr>
                <w:rFonts w:ascii="仿宋" w:hAnsi="仿宋" w:eastAsia="仿宋" w:cs="仿宋"/>
                <w:sz w:val="24"/>
                <w:szCs w:val="24"/>
              </w:rPr>
            </w:pPr>
          </w:p>
        </w:tc>
        <w:tc>
          <w:tcPr>
            <w:tcW w:w="141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服务周期</w:t>
            </w:r>
          </w:p>
        </w:tc>
        <w:tc>
          <w:tcPr>
            <w:tcW w:w="4678" w:type="dxa"/>
            <w:shd w:val="clear" w:color="auto" w:fill="auto"/>
            <w:vAlign w:val="center"/>
          </w:tcPr>
          <w:p>
            <w:pPr>
              <w:ind w:firstLine="0"/>
              <w:rPr>
                <w:rFonts w:ascii="仿宋" w:hAnsi="仿宋" w:eastAsia="仿宋" w:cs="仿宋"/>
                <w:sz w:val="24"/>
                <w:szCs w:val="24"/>
              </w:rPr>
            </w:pPr>
            <w:r>
              <w:rPr>
                <w:rFonts w:ascii="仿宋" w:hAnsi="仿宋" w:eastAsia="仿宋" w:cs="仿宋"/>
                <w:sz w:val="24"/>
                <w:szCs w:val="24"/>
              </w:rPr>
              <w:t>提供两年服务</w:t>
            </w:r>
          </w:p>
        </w:tc>
      </w:tr>
    </w:tbl>
    <w:p>
      <w:pPr>
        <w:ind w:firstLine="0"/>
        <w:rPr>
          <w:rFonts w:ascii="仿宋" w:hAnsi="仿宋" w:eastAsia="仿宋" w:cs="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spacing w:line="360" w:lineRule="auto"/>
        <w:ind w:firstLine="420"/>
        <w:textAlignment w:val="auto"/>
        <w:rPr>
          <w:rFonts w:ascii="仿宋" w:hAnsi="仿宋" w:eastAsia="仿宋" w:cs="仿宋"/>
          <w:sz w:val="24"/>
          <w:szCs w:val="24"/>
        </w:rPr>
      </w:pPr>
    </w:p>
    <w:p>
      <w:pPr>
        <w:pStyle w:val="2"/>
        <w:tabs>
          <w:tab w:val="left" w:pos="142"/>
        </w:tabs>
        <w:ind w:left="141" w:leftChars="67"/>
        <w:outlineLvl w:val="0"/>
        <w:rPr>
          <w:rFonts w:ascii="仿宋_GB2312" w:eastAsia="仿宋_GB2312"/>
          <w:b/>
          <w:sz w:val="24"/>
          <w:szCs w:val="24"/>
        </w:rPr>
      </w:pPr>
      <w:r>
        <w:rPr>
          <w:rFonts w:hint="eastAsia" w:ascii="仿宋_GB2312" w:eastAsia="仿宋_GB2312"/>
          <w:b/>
          <w:sz w:val="24"/>
          <w:szCs w:val="24"/>
        </w:rPr>
        <w:t>附件一：</w:t>
      </w:r>
    </w:p>
    <w:p>
      <w:pPr>
        <w:pStyle w:val="2"/>
        <w:tabs>
          <w:tab w:val="left" w:pos="0"/>
        </w:tabs>
        <w:jc w:val="center"/>
        <w:outlineLvl w:val="0"/>
        <w:rPr>
          <w:rFonts w:ascii="仿宋_GB2312" w:eastAsia="仿宋_GB2312"/>
          <w:b/>
          <w:sz w:val="24"/>
          <w:szCs w:val="24"/>
        </w:rPr>
      </w:pPr>
      <w:r>
        <w:rPr>
          <w:rFonts w:hint="eastAsia" w:ascii="仿宋_GB2312" w:eastAsia="仿宋_GB2312"/>
          <w:b/>
          <w:sz w:val="24"/>
          <w:szCs w:val="24"/>
        </w:rPr>
        <w:t>报 价 函</w:t>
      </w:r>
    </w:p>
    <w:p>
      <w:pPr>
        <w:pStyle w:val="2"/>
        <w:tabs>
          <w:tab w:val="left" w:pos="0"/>
        </w:tabs>
        <w:spacing w:line="440" w:lineRule="exact"/>
        <w:ind w:firstLine="612" w:firstLineChars="255"/>
        <w:jc w:val="right"/>
        <w:rPr>
          <w:rFonts w:ascii="仿宋_GB2312" w:eastAsia="仿宋_GB2312"/>
          <w:sz w:val="24"/>
          <w:szCs w:val="24"/>
        </w:rPr>
      </w:pPr>
    </w:p>
    <w:p>
      <w:pPr>
        <w:pStyle w:val="2"/>
        <w:tabs>
          <w:tab w:val="left" w:pos="0"/>
        </w:tabs>
        <w:spacing w:line="440" w:lineRule="exact"/>
        <w:ind w:firstLine="612" w:firstLineChars="255"/>
        <w:rPr>
          <w:rFonts w:ascii="仿宋_GB2312" w:eastAsia="仿宋_GB2312"/>
          <w:sz w:val="24"/>
          <w:szCs w:val="24"/>
        </w:rPr>
      </w:pPr>
      <w:r>
        <w:rPr>
          <w:rFonts w:hint="eastAsia" w:ascii="仿宋_GB2312" w:eastAsia="仿宋_GB2312"/>
          <w:sz w:val="24"/>
          <w:szCs w:val="24"/>
        </w:rPr>
        <w:t>报价文件请各供应商自拟。</w:t>
      </w:r>
    </w:p>
    <w:p>
      <w:pPr>
        <w:pStyle w:val="2"/>
        <w:tabs>
          <w:tab w:val="left" w:pos="0"/>
        </w:tabs>
        <w:spacing w:line="440" w:lineRule="exact"/>
        <w:ind w:firstLine="612" w:firstLineChars="255"/>
        <w:jc w:val="right"/>
        <w:rPr>
          <w:rFonts w:ascii="仿宋_GB2312" w:eastAsia="仿宋_GB2312"/>
          <w:sz w:val="24"/>
          <w:szCs w:val="24"/>
        </w:rPr>
      </w:pPr>
    </w:p>
    <w:p>
      <w:pPr>
        <w:pStyle w:val="2"/>
        <w:tabs>
          <w:tab w:val="left" w:pos="0"/>
        </w:tabs>
        <w:spacing w:line="440" w:lineRule="exact"/>
        <w:ind w:firstLine="612" w:firstLineChars="255"/>
        <w:jc w:val="right"/>
        <w:rPr>
          <w:rFonts w:ascii="仿宋_GB2312" w:eastAsia="仿宋_GB2312"/>
          <w:sz w:val="24"/>
          <w:szCs w:val="24"/>
        </w:rPr>
      </w:pPr>
    </w:p>
    <w:p>
      <w:pPr>
        <w:pStyle w:val="2"/>
        <w:tabs>
          <w:tab w:val="left" w:pos="0"/>
        </w:tabs>
        <w:spacing w:line="440" w:lineRule="exact"/>
        <w:ind w:firstLine="612" w:firstLineChars="255"/>
        <w:jc w:val="right"/>
        <w:rPr>
          <w:rFonts w:ascii="仿宋_GB2312" w:eastAsia="仿宋_GB2312"/>
          <w:sz w:val="24"/>
          <w:szCs w:val="24"/>
        </w:rPr>
      </w:pPr>
      <w:r>
        <w:rPr>
          <w:rFonts w:hint="eastAsia" w:ascii="仿宋_GB2312" w:eastAsia="仿宋_GB2312"/>
          <w:sz w:val="24"/>
          <w:szCs w:val="24"/>
        </w:rPr>
        <w:t>日期：      年    月   日</w:t>
      </w:r>
    </w:p>
    <w:p>
      <w:pPr>
        <w:pStyle w:val="2"/>
        <w:tabs>
          <w:tab w:val="left" w:pos="0"/>
        </w:tabs>
        <w:jc w:val="center"/>
        <w:outlineLvl w:val="0"/>
        <w:rPr>
          <w:rFonts w:ascii="仿宋_GB2312" w:eastAsia="仿宋_GB2312"/>
          <w:b/>
          <w:sz w:val="24"/>
          <w:szCs w:val="24"/>
        </w:rPr>
      </w:pPr>
      <w:r>
        <w:rPr>
          <w:rFonts w:ascii="仿宋_GB2312" w:eastAsia="仿宋_GB2312"/>
          <w:sz w:val="24"/>
          <w:szCs w:val="24"/>
        </w:rPr>
        <w:br w:type="page"/>
      </w:r>
      <w:bookmarkStart w:id="53" w:name="_Toc366593264"/>
      <w:r>
        <w:rPr>
          <w:rFonts w:hint="eastAsia" w:ascii="仿宋_GB2312" w:eastAsia="仿宋_GB2312"/>
          <w:b/>
          <w:sz w:val="24"/>
          <w:szCs w:val="24"/>
        </w:rPr>
        <w:t>法人代表授权书</w:t>
      </w:r>
      <w:bookmarkEnd w:id="53"/>
    </w:p>
    <w:p>
      <w:pPr>
        <w:widowControl/>
        <w:spacing w:line="480" w:lineRule="auto"/>
        <w:rPr>
          <w:rFonts w:ascii="仿宋_GB2312" w:eastAsia="仿宋_GB2312"/>
          <w:sz w:val="24"/>
          <w:szCs w:val="24"/>
        </w:rPr>
      </w:pPr>
      <w:r>
        <w:rPr>
          <w:rFonts w:hint="eastAsia" w:ascii="仿宋_GB2312" w:eastAsia="仿宋_GB2312"/>
          <w:sz w:val="24"/>
          <w:szCs w:val="24"/>
        </w:rPr>
        <w:t>（采购人）：</w:t>
      </w:r>
    </w:p>
    <w:p>
      <w:pPr>
        <w:spacing w:line="480" w:lineRule="auto"/>
        <w:ind w:firstLine="480" w:firstLineChars="200"/>
        <w:rPr>
          <w:rFonts w:ascii="仿宋_GB2312" w:eastAsia="仿宋_GB2312"/>
          <w:sz w:val="24"/>
          <w:szCs w:val="24"/>
        </w:rPr>
      </w:pPr>
      <w:r>
        <w:rPr>
          <w:rFonts w:hint="eastAsia" w:ascii="仿宋_GB2312" w:eastAsia="仿宋_GB2312"/>
          <w:sz w:val="24"/>
          <w:szCs w:val="24"/>
        </w:rPr>
        <w:t>兹授权</w:t>
      </w:r>
      <w:r>
        <w:rPr>
          <w:rFonts w:hint="eastAsia" w:ascii="仿宋_GB2312" w:eastAsia="仿宋_GB2312"/>
          <w:sz w:val="24"/>
          <w:szCs w:val="24"/>
          <w:u w:val="single"/>
        </w:rPr>
        <w:t xml:space="preserve">      </w:t>
      </w:r>
      <w:r>
        <w:rPr>
          <w:rFonts w:hint="eastAsia" w:ascii="仿宋_GB2312" w:eastAsia="仿宋_GB2312"/>
          <w:sz w:val="24"/>
          <w:szCs w:val="24"/>
        </w:rPr>
        <w:t>同志为我公司参加贵单位组织的网络安全运维服务项目采购询价活动的授权代表人，全权代表我公司处理在该项目活动中的一切事宜。</w:t>
      </w:r>
    </w:p>
    <w:p>
      <w:pPr>
        <w:spacing w:line="480" w:lineRule="auto"/>
        <w:ind w:firstLine="480" w:firstLineChars="200"/>
        <w:rPr>
          <w:rFonts w:ascii="仿宋_GB2312" w:eastAsia="仿宋_GB2312"/>
          <w:sz w:val="24"/>
          <w:szCs w:val="24"/>
        </w:rPr>
      </w:pPr>
      <w:r>
        <w:rPr>
          <w:rFonts w:hint="eastAsia" w:ascii="仿宋_GB2312" w:eastAsia="仿宋_GB2312"/>
          <w:sz w:val="24"/>
          <w:szCs w:val="24"/>
        </w:rPr>
        <w:t>代理期限</w:t>
      </w:r>
      <w:r>
        <w:rPr>
          <w:rFonts w:hint="eastAsia" w:ascii="仿宋_GB2312" w:eastAsia="仿宋_GB2312"/>
          <w:sz w:val="24"/>
          <w:szCs w:val="24"/>
          <w:u w:val="single"/>
        </w:rPr>
        <w:t>从     年   月   日起至     年   月   日止</w:t>
      </w:r>
      <w:r>
        <w:rPr>
          <w:rFonts w:hint="eastAsia" w:ascii="仿宋_GB2312" w:eastAsia="仿宋_GB2312"/>
          <w:sz w:val="24"/>
          <w:szCs w:val="24"/>
        </w:rPr>
        <w:t xml:space="preserve">。 </w:t>
      </w:r>
    </w:p>
    <w:p>
      <w:pPr>
        <w:spacing w:line="480" w:lineRule="auto"/>
        <w:rPr>
          <w:rFonts w:ascii="仿宋_GB2312" w:eastAsia="仿宋_GB2312"/>
          <w:sz w:val="24"/>
          <w:szCs w:val="24"/>
        </w:rPr>
      </w:pPr>
    </w:p>
    <w:p>
      <w:pPr>
        <w:pStyle w:val="9"/>
        <w:tabs>
          <w:tab w:val="left" w:pos="900"/>
        </w:tabs>
        <w:spacing w:line="480" w:lineRule="auto"/>
        <w:rPr>
          <w:rFonts w:ascii="仿宋_GB2312" w:eastAsia="仿宋_GB2312"/>
          <w:kern w:val="0"/>
          <w:sz w:val="24"/>
        </w:rPr>
      </w:pPr>
      <w:r>
        <w:rPr>
          <w:rFonts w:hint="eastAsia" w:ascii="仿宋_GB2312" w:eastAsia="仿宋_GB2312"/>
          <w:kern w:val="0"/>
          <w:sz w:val="24"/>
        </w:rPr>
        <w:t xml:space="preserve">供应商：    （加盖公章）             </w:t>
      </w:r>
    </w:p>
    <w:p>
      <w:pPr>
        <w:spacing w:line="480" w:lineRule="auto"/>
        <w:rPr>
          <w:rFonts w:ascii="仿宋_GB2312" w:eastAsia="仿宋_GB2312"/>
          <w:sz w:val="24"/>
          <w:szCs w:val="24"/>
        </w:rPr>
      </w:pPr>
      <w:r>
        <w:rPr>
          <w:rFonts w:hint="eastAsia" w:ascii="仿宋_GB2312" w:eastAsia="仿宋_GB2312"/>
          <w:sz w:val="24"/>
          <w:szCs w:val="24"/>
        </w:rPr>
        <w:t xml:space="preserve">法定代表人：    （签字）             </w:t>
      </w:r>
    </w:p>
    <w:p>
      <w:pPr>
        <w:spacing w:line="480" w:lineRule="auto"/>
        <w:rPr>
          <w:rFonts w:ascii="仿宋_GB2312" w:eastAsia="仿宋_GB2312"/>
          <w:sz w:val="24"/>
          <w:szCs w:val="24"/>
        </w:rPr>
      </w:pPr>
      <w:r>
        <w:rPr>
          <w:rFonts w:hint="eastAsia" w:ascii="仿宋_GB2312" w:eastAsia="仿宋_GB2312"/>
          <w:sz w:val="24"/>
          <w:szCs w:val="24"/>
        </w:rPr>
        <w:t>签发日期：      年    月     日</w:t>
      </w:r>
    </w:p>
    <w:p>
      <w:pPr>
        <w:spacing w:line="480" w:lineRule="auto"/>
        <w:rPr>
          <w:rFonts w:ascii="仿宋_GB2312" w:eastAsia="仿宋_GB2312"/>
          <w:sz w:val="24"/>
          <w:szCs w:val="24"/>
        </w:rPr>
      </w:pPr>
    </w:p>
    <w:p>
      <w:pPr>
        <w:spacing w:line="480" w:lineRule="auto"/>
        <w:ind w:firstLine="480" w:firstLineChars="200"/>
        <w:rPr>
          <w:rFonts w:ascii="仿宋_GB2312" w:eastAsia="仿宋_GB2312"/>
          <w:sz w:val="24"/>
          <w:szCs w:val="24"/>
        </w:rPr>
      </w:pPr>
      <w:r>
        <w:rPr>
          <w:rFonts w:hint="eastAsia" w:ascii="仿宋_GB2312" w:eastAsia="仿宋_GB2312"/>
          <w:sz w:val="24"/>
          <w:szCs w:val="24"/>
        </w:rPr>
        <w:t xml:space="preserve">附：代理人工作单位：                        </w:t>
      </w:r>
    </w:p>
    <w:p>
      <w:pPr>
        <w:spacing w:line="480" w:lineRule="auto"/>
        <w:ind w:firstLine="960" w:firstLineChars="400"/>
        <w:rPr>
          <w:rFonts w:ascii="仿宋_GB2312" w:eastAsia="仿宋_GB2312"/>
          <w:sz w:val="24"/>
          <w:szCs w:val="24"/>
        </w:rPr>
      </w:pPr>
      <w:r>
        <w:rPr>
          <w:rFonts w:hint="eastAsia" w:ascii="仿宋_GB2312" w:eastAsia="仿宋_GB2312"/>
          <w:sz w:val="24"/>
          <w:szCs w:val="24"/>
        </w:rPr>
        <w:t xml:space="preserve">职务：                    性别：        </w:t>
      </w:r>
    </w:p>
    <w:p>
      <w:pPr>
        <w:spacing w:line="480" w:lineRule="auto"/>
        <w:ind w:firstLine="960" w:firstLineChars="400"/>
        <w:rPr>
          <w:rFonts w:ascii="仿宋_GB2312" w:eastAsia="仿宋_GB2312"/>
          <w:sz w:val="24"/>
          <w:szCs w:val="24"/>
        </w:rPr>
      </w:pPr>
      <w:r>
        <w:rPr>
          <w:rFonts w:hint="eastAsia" w:ascii="仿宋_GB2312" w:eastAsia="仿宋_GB2312"/>
          <w:sz w:val="24"/>
          <w:szCs w:val="24"/>
        </w:rPr>
        <w:t xml:space="preserve">身份证号码：                            </w:t>
      </w:r>
    </w:p>
    <w:tbl>
      <w:tblPr>
        <w:tblStyle w:val="17"/>
        <w:tblW w:w="79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7999" w:type="dxa"/>
          </w:tcPr>
          <w:p>
            <w:pPr>
              <w:spacing w:line="300" w:lineRule="auto"/>
              <w:rPr>
                <w:rFonts w:ascii="仿宋_GB2312" w:eastAsia="仿宋_GB2312"/>
                <w:sz w:val="24"/>
                <w:szCs w:val="24"/>
              </w:rPr>
            </w:pPr>
            <w:r>
              <w:rPr>
                <w:rFonts w:hint="eastAsia" w:ascii="仿宋_GB2312" w:eastAsia="仿宋_GB2312"/>
                <w:sz w:val="24"/>
                <w:szCs w:val="24"/>
              </w:rPr>
              <w:t>被授权人身份证复印件</w:t>
            </w:r>
          </w:p>
        </w:tc>
      </w:tr>
    </w:tbl>
    <w:p>
      <w:pPr>
        <w:pStyle w:val="2"/>
        <w:tabs>
          <w:tab w:val="left" w:pos="0"/>
        </w:tabs>
        <w:jc w:val="center"/>
        <w:outlineLvl w:val="0"/>
        <w:rPr>
          <w:rFonts w:ascii="仿宋_GB2312" w:eastAsia="仿宋_GB2312"/>
          <w:b/>
          <w:sz w:val="24"/>
          <w:szCs w:val="24"/>
        </w:rPr>
      </w:pPr>
      <w:r>
        <w:rPr>
          <w:rFonts w:ascii="仿宋_GB2312" w:eastAsia="仿宋_GB2312"/>
          <w:sz w:val="24"/>
          <w:szCs w:val="24"/>
        </w:rPr>
        <w:br w:type="page"/>
      </w:r>
      <w:r>
        <w:rPr>
          <w:rFonts w:ascii="仿宋_GB2312" w:eastAsia="仿宋_GB2312"/>
          <w:b/>
          <w:sz w:val="24"/>
          <w:szCs w:val="24"/>
        </w:rPr>
        <w:t>其他证明文件、资料等</w:t>
      </w:r>
    </w:p>
    <w:p>
      <w:pPr>
        <w:widowControl/>
        <w:snapToGrid w:val="0"/>
        <w:spacing w:line="480" w:lineRule="auto"/>
        <w:ind w:left="544" w:firstLine="0"/>
        <w:rPr>
          <w:rFonts w:ascii="仿宋_GB2312" w:eastAsia="仿宋_GB2312"/>
          <w:sz w:val="24"/>
          <w:szCs w:val="24"/>
        </w:rPr>
      </w:pPr>
    </w:p>
    <w:p>
      <w:pPr>
        <w:widowControl/>
        <w:snapToGrid w:val="0"/>
        <w:spacing w:line="480" w:lineRule="auto"/>
        <w:ind w:left="544" w:firstLine="0"/>
        <w:rPr>
          <w:rFonts w:ascii="仿宋_GB2312" w:eastAsia="仿宋_GB2312"/>
          <w:sz w:val="24"/>
          <w:szCs w:val="24"/>
        </w:rPr>
      </w:pPr>
      <w:r>
        <w:rPr>
          <w:rFonts w:hint="eastAsia" w:ascii="仿宋_GB2312" w:eastAsia="仿宋_GB2312"/>
          <w:sz w:val="24"/>
          <w:szCs w:val="24"/>
        </w:rPr>
        <w:t>1、公司营业执照</w:t>
      </w:r>
    </w:p>
    <w:p>
      <w:pPr>
        <w:widowControl/>
        <w:snapToGrid w:val="0"/>
        <w:spacing w:line="480" w:lineRule="auto"/>
        <w:ind w:left="544" w:firstLine="0"/>
        <w:rPr>
          <w:rFonts w:ascii="仿宋_GB2312" w:eastAsia="仿宋_GB2312"/>
          <w:sz w:val="24"/>
          <w:szCs w:val="24"/>
        </w:rPr>
      </w:pPr>
      <w:r>
        <w:rPr>
          <w:rFonts w:hint="eastAsia" w:ascii="仿宋_GB2312" w:eastAsia="仿宋_GB2312"/>
          <w:sz w:val="24"/>
          <w:szCs w:val="24"/>
        </w:rPr>
        <w:t>2、相关资质证书</w:t>
      </w:r>
    </w:p>
    <w:p>
      <w:pPr>
        <w:widowControl/>
        <w:snapToGrid w:val="0"/>
        <w:spacing w:line="480" w:lineRule="auto"/>
        <w:ind w:left="544" w:firstLine="0"/>
        <w:rPr>
          <w:rFonts w:ascii="仿宋_GB2312" w:eastAsia="仿宋_GB2312"/>
          <w:sz w:val="24"/>
          <w:szCs w:val="24"/>
        </w:rPr>
      </w:pPr>
      <w:r>
        <w:rPr>
          <w:rFonts w:hint="eastAsia" w:ascii="仿宋_GB2312" w:eastAsia="仿宋_GB2312"/>
          <w:sz w:val="24"/>
          <w:szCs w:val="24"/>
        </w:rPr>
        <w:t>以上文件均为复印件并加盖公章</w:t>
      </w:r>
    </w:p>
    <w:p/>
    <w:sectPr>
      <w:footerReference r:id="rId4" w:type="default"/>
      <w:pgSz w:w="11906" w:h="16838"/>
      <w:pgMar w:top="1270" w:right="2007" w:bottom="1270" w:left="180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szCs w:val="21"/>
      </w:rPr>
      <w:t>第</w:t>
    </w:r>
    <w:sdt>
      <w:sdtPr>
        <w:rPr>
          <w:szCs w:val="21"/>
        </w:rPr>
        <w:id w:val="1289555124"/>
      </w:sdtPr>
      <w:sdtEndPr>
        <w:rPr>
          <w:szCs w:val="18"/>
        </w:rPr>
      </w:sdtEndPr>
      <w:sdtContent>
        <w:sdt>
          <w:sdtPr>
            <w:rPr>
              <w:szCs w:val="21"/>
            </w:rPr>
            <w:id w:val="11027119"/>
          </w:sdtPr>
          <w:sdtEndPr>
            <w:rPr>
              <w:szCs w:val="18"/>
            </w:rPr>
          </w:sdtEndPr>
          <w:sdtContent>
            <w:r>
              <w:rPr>
                <w:bCs/>
                <w:szCs w:val="21"/>
              </w:rPr>
              <w:fldChar w:fldCharType="begin"/>
            </w:r>
            <w:r>
              <w:rPr>
                <w:bCs/>
                <w:szCs w:val="21"/>
              </w:rPr>
              <w:instrText xml:space="preserve">PAGE</w:instrText>
            </w:r>
            <w:r>
              <w:rPr>
                <w:bCs/>
                <w:szCs w:val="21"/>
              </w:rPr>
              <w:fldChar w:fldCharType="separate"/>
            </w:r>
            <w:r>
              <w:rPr>
                <w:bCs/>
                <w:szCs w:val="21"/>
              </w:rPr>
              <w:t>7</w:t>
            </w:r>
            <w:r>
              <w:rPr>
                <w:bCs/>
                <w:szCs w:val="21"/>
              </w:rPr>
              <w:fldChar w:fldCharType="end"/>
            </w:r>
            <w:r>
              <w:rPr>
                <w:rFonts w:hint="eastAsia"/>
                <w:bCs/>
                <w:szCs w:val="21"/>
              </w:rPr>
              <w:t>页</w:t>
            </w:r>
            <w:r>
              <w:rPr>
                <w:szCs w:val="21"/>
                <w:lang w:val="zh-CN"/>
              </w:rPr>
              <w:t xml:space="preserve"> /</w:t>
            </w:r>
            <w:r>
              <w:rPr>
                <w:rFonts w:hint="eastAsia"/>
                <w:szCs w:val="21"/>
                <w:lang w:val="zh-CN"/>
              </w:rPr>
              <w:t>共</w:t>
            </w:r>
            <w:r>
              <w:rPr>
                <w:bCs/>
                <w:szCs w:val="21"/>
              </w:rPr>
              <w:fldChar w:fldCharType="begin"/>
            </w:r>
            <w:r>
              <w:rPr>
                <w:bCs/>
                <w:szCs w:val="21"/>
              </w:rPr>
              <w:instrText xml:space="preserve">NUMPAGES</w:instrText>
            </w:r>
            <w:r>
              <w:rPr>
                <w:bCs/>
                <w:szCs w:val="21"/>
              </w:rPr>
              <w:fldChar w:fldCharType="separate"/>
            </w:r>
            <w:r>
              <w:rPr>
                <w:bCs/>
                <w:szCs w:val="21"/>
              </w:rPr>
              <w:t>12</w:t>
            </w:r>
            <w:r>
              <w:rPr>
                <w:bCs/>
                <w:szCs w:val="21"/>
              </w:rPr>
              <w:fldChar w:fldCharType="end"/>
            </w:r>
            <w:r>
              <w:rPr>
                <w:rFonts w:hint="eastAsia"/>
                <w:bCs/>
                <w:szCs w:val="21"/>
              </w:rPr>
              <w:t>页</w:t>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125C08C0"/>
    <w:multiLevelType w:val="multilevel"/>
    <w:tmpl w:val="125C08C0"/>
    <w:lvl w:ilvl="0" w:tentative="0">
      <w:start w:val="1"/>
      <w:numFmt w:val="bullet"/>
      <w:pStyle w:val="32"/>
      <w:lvlText w:val=""/>
      <w:lvlPicBulletId w:val="0"/>
      <w:lvlJc w:val="left"/>
      <w:pPr>
        <w:tabs>
          <w:tab w:val="left" w:pos="839"/>
        </w:tabs>
        <w:ind w:left="839" w:hanging="421"/>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abstractNum w:abstractNumId="1">
    <w:nsid w:val="5FF45194"/>
    <w:multiLevelType w:val="multilevel"/>
    <w:tmpl w:val="5FF45194"/>
    <w:lvl w:ilvl="0" w:tentative="0">
      <w:start w:val="1"/>
      <w:numFmt w:val="chineseCountingThousand"/>
      <w:pStyle w:val="3"/>
      <w:suff w:val="space"/>
      <w:lvlText w:val="%1、"/>
      <w:lvlJc w:val="left"/>
      <w:pPr>
        <w:ind w:left="425" w:hanging="425"/>
      </w:pPr>
      <w:rPr>
        <w:rFonts w:hint="eastAsia"/>
        <w:sz w:val="36"/>
        <w:szCs w:val="36"/>
      </w:rPr>
    </w:lvl>
    <w:lvl w:ilvl="1" w:tentative="0">
      <w:start w:val="1"/>
      <w:numFmt w:val="chineseCountingThousand"/>
      <w:pStyle w:val="4"/>
      <w:suff w:val="space"/>
      <w:lvlText w:val="（%2）"/>
      <w:lvlJc w:val="left"/>
      <w:pPr>
        <w:ind w:left="992" w:hanging="567"/>
      </w:pPr>
      <w:rPr>
        <w:rFonts w:hint="eastAsia"/>
      </w:rPr>
    </w:lvl>
    <w:lvl w:ilvl="2" w:tentative="0">
      <w:start w:val="1"/>
      <w:numFmt w:val="decimal"/>
      <w:pStyle w:val="5"/>
      <w:suff w:val="space"/>
      <w:lvlText w:val="%3、"/>
      <w:lvlJc w:val="left"/>
      <w:pPr>
        <w:ind w:left="567" w:hanging="567"/>
      </w:pPr>
      <w:rPr>
        <w:rFonts w:hint="eastAsia"/>
      </w:rPr>
    </w:lvl>
    <w:lvl w:ilvl="3" w:tentative="0">
      <w:start w:val="1"/>
      <w:numFmt w:val="decimal"/>
      <w:pStyle w:val="6"/>
      <w:suff w:val="nothing"/>
      <w:lvlText w:val="%3.%4"/>
      <w:lvlJc w:val="left"/>
      <w:pPr>
        <w:ind w:left="1275" w:hanging="708"/>
      </w:pPr>
      <w:rPr>
        <w:rFonts w:hint="eastAsia"/>
      </w:rPr>
    </w:lvl>
    <w:lvl w:ilvl="4" w:tentative="0">
      <w:start w:val="1"/>
      <w:numFmt w:val="decimal"/>
      <w:pStyle w:val="7"/>
      <w:suff w:val="nothing"/>
      <w:lvlText w:val="%3.%4.%5"/>
      <w:lvlJc w:val="left"/>
      <w:pPr>
        <w:ind w:left="2551" w:hanging="850"/>
      </w:pPr>
      <w:rPr>
        <w:rFonts w:hint="eastAsia"/>
      </w:rPr>
    </w:lvl>
    <w:lvl w:ilvl="5" w:tentative="0">
      <w:start w:val="1"/>
      <w:numFmt w:val="decimal"/>
      <w:pStyle w:val="8"/>
      <w:suff w:val="space"/>
      <w:lvlText w:val="%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91A5936"/>
    <w:rsid w:val="00092B72"/>
    <w:rsid w:val="000A0162"/>
    <w:rsid w:val="00100446"/>
    <w:rsid w:val="00105BCC"/>
    <w:rsid w:val="00244223"/>
    <w:rsid w:val="00265160"/>
    <w:rsid w:val="00301D51"/>
    <w:rsid w:val="00337E4F"/>
    <w:rsid w:val="00371A2F"/>
    <w:rsid w:val="00446D7F"/>
    <w:rsid w:val="00475412"/>
    <w:rsid w:val="00527E33"/>
    <w:rsid w:val="00562393"/>
    <w:rsid w:val="00570015"/>
    <w:rsid w:val="005D2B96"/>
    <w:rsid w:val="005D5EA9"/>
    <w:rsid w:val="005E18EF"/>
    <w:rsid w:val="005E5EC5"/>
    <w:rsid w:val="0060550B"/>
    <w:rsid w:val="006C54C9"/>
    <w:rsid w:val="007248BC"/>
    <w:rsid w:val="0080796E"/>
    <w:rsid w:val="00811DCE"/>
    <w:rsid w:val="00836FE7"/>
    <w:rsid w:val="0085360C"/>
    <w:rsid w:val="008D1668"/>
    <w:rsid w:val="008E79C2"/>
    <w:rsid w:val="009B6687"/>
    <w:rsid w:val="009D31B6"/>
    <w:rsid w:val="009F2F99"/>
    <w:rsid w:val="009F3833"/>
    <w:rsid w:val="00AC795E"/>
    <w:rsid w:val="00AE75EE"/>
    <w:rsid w:val="00AF0797"/>
    <w:rsid w:val="00B179CE"/>
    <w:rsid w:val="00B90C4C"/>
    <w:rsid w:val="00C153EE"/>
    <w:rsid w:val="00D12CD0"/>
    <w:rsid w:val="00D854F8"/>
    <w:rsid w:val="00E7049F"/>
    <w:rsid w:val="00F53C29"/>
    <w:rsid w:val="00F650DE"/>
    <w:rsid w:val="41776DFC"/>
    <w:rsid w:val="491A5936"/>
    <w:rsid w:val="759422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20" w:lineRule="atLeast"/>
      <w:ind w:firstLine="454"/>
      <w:jc w:val="both"/>
      <w:textAlignment w:val="baseline"/>
    </w:pPr>
    <w:rPr>
      <w:rFonts w:ascii="Times New Roman" w:hAnsi="Times New Roman" w:eastAsia="宋体" w:cs="Times New Roman"/>
      <w:sz w:val="21"/>
      <w:lang w:val="en-US" w:eastAsia="zh-CN" w:bidi="ar-SA"/>
    </w:rPr>
  </w:style>
  <w:style w:type="paragraph" w:styleId="3">
    <w:name w:val="heading 1"/>
    <w:basedOn w:val="1"/>
    <w:next w:val="1"/>
    <w:link w:val="22"/>
    <w:qFormat/>
    <w:uiPriority w:val="0"/>
    <w:pPr>
      <w:keepNext/>
      <w:keepLines/>
      <w:numPr>
        <w:ilvl w:val="0"/>
        <w:numId w:val="1"/>
      </w:numPr>
      <w:adjustRightInd/>
      <w:spacing w:before="340" w:after="330" w:line="578" w:lineRule="auto"/>
      <w:textAlignment w:val="auto"/>
      <w:outlineLvl w:val="0"/>
    </w:pPr>
    <w:rPr>
      <w:rFonts w:ascii="仿宋" w:eastAsia="仿宋" w:hAnsiTheme="minorHAnsi" w:cstheme="minorBidi"/>
      <w:b/>
      <w:bCs/>
      <w:kern w:val="44"/>
      <w:sz w:val="44"/>
      <w:szCs w:val="44"/>
    </w:rPr>
  </w:style>
  <w:style w:type="paragraph" w:styleId="4">
    <w:name w:val="heading 2"/>
    <w:basedOn w:val="1"/>
    <w:next w:val="1"/>
    <w:link w:val="23"/>
    <w:unhideWhenUsed/>
    <w:qFormat/>
    <w:uiPriority w:val="0"/>
    <w:pPr>
      <w:keepNext/>
      <w:keepLines/>
      <w:numPr>
        <w:ilvl w:val="1"/>
        <w:numId w:val="1"/>
      </w:numPr>
      <w:adjustRightInd/>
      <w:spacing w:before="260" w:after="260" w:line="416" w:lineRule="auto"/>
      <w:textAlignment w:val="auto"/>
      <w:outlineLvl w:val="1"/>
    </w:pPr>
    <w:rPr>
      <w:rFonts w:ascii="仿宋" w:eastAsia="仿宋" w:hAnsiTheme="minorHAnsi" w:cstheme="majorBidi"/>
      <w:b/>
      <w:bCs/>
      <w:kern w:val="2"/>
      <w:sz w:val="32"/>
      <w:szCs w:val="32"/>
    </w:rPr>
  </w:style>
  <w:style w:type="paragraph" w:styleId="5">
    <w:name w:val="heading 3"/>
    <w:basedOn w:val="1"/>
    <w:next w:val="1"/>
    <w:link w:val="24"/>
    <w:unhideWhenUsed/>
    <w:qFormat/>
    <w:uiPriority w:val="0"/>
    <w:pPr>
      <w:keepNext/>
      <w:keepLines/>
      <w:numPr>
        <w:ilvl w:val="2"/>
        <w:numId w:val="1"/>
      </w:numPr>
      <w:adjustRightInd/>
      <w:spacing w:before="260" w:after="260" w:line="416" w:lineRule="auto"/>
      <w:textAlignment w:val="auto"/>
      <w:outlineLvl w:val="2"/>
    </w:pPr>
    <w:rPr>
      <w:rFonts w:ascii="仿宋" w:eastAsia="仿宋" w:hAnsiTheme="minorHAnsi" w:cstheme="minorBidi"/>
      <w:b/>
      <w:bCs/>
      <w:kern w:val="2"/>
      <w:sz w:val="32"/>
      <w:szCs w:val="32"/>
    </w:rPr>
  </w:style>
  <w:style w:type="paragraph" w:styleId="6">
    <w:name w:val="heading 4"/>
    <w:basedOn w:val="1"/>
    <w:next w:val="1"/>
    <w:link w:val="25"/>
    <w:unhideWhenUsed/>
    <w:qFormat/>
    <w:uiPriority w:val="0"/>
    <w:pPr>
      <w:keepNext/>
      <w:keepLines/>
      <w:numPr>
        <w:ilvl w:val="3"/>
        <w:numId w:val="1"/>
      </w:numPr>
      <w:adjustRightInd/>
      <w:spacing w:before="280" w:after="290" w:line="376" w:lineRule="auto"/>
      <w:textAlignment w:val="auto"/>
      <w:outlineLvl w:val="3"/>
    </w:pPr>
    <w:rPr>
      <w:rFonts w:ascii="仿宋" w:eastAsia="仿宋" w:hAnsiTheme="minorHAnsi" w:cstheme="majorBidi"/>
      <w:b/>
      <w:bCs/>
      <w:kern w:val="2"/>
      <w:sz w:val="30"/>
      <w:szCs w:val="28"/>
    </w:rPr>
  </w:style>
  <w:style w:type="paragraph" w:styleId="7">
    <w:name w:val="heading 5"/>
    <w:basedOn w:val="1"/>
    <w:next w:val="1"/>
    <w:link w:val="26"/>
    <w:unhideWhenUsed/>
    <w:qFormat/>
    <w:uiPriority w:val="0"/>
    <w:pPr>
      <w:keepNext/>
      <w:keepLines/>
      <w:numPr>
        <w:ilvl w:val="4"/>
        <w:numId w:val="1"/>
      </w:numPr>
      <w:adjustRightInd/>
      <w:spacing w:before="280" w:after="290" w:line="376" w:lineRule="auto"/>
      <w:textAlignment w:val="auto"/>
      <w:outlineLvl w:val="4"/>
    </w:pPr>
    <w:rPr>
      <w:rFonts w:ascii="仿宋" w:eastAsia="仿宋" w:hAnsiTheme="minorHAnsi" w:cstheme="minorBidi"/>
      <w:b/>
      <w:bCs/>
      <w:kern w:val="2"/>
      <w:sz w:val="30"/>
      <w:szCs w:val="28"/>
    </w:rPr>
  </w:style>
  <w:style w:type="paragraph" w:styleId="8">
    <w:name w:val="heading 6"/>
    <w:basedOn w:val="1"/>
    <w:next w:val="1"/>
    <w:link w:val="27"/>
    <w:unhideWhenUsed/>
    <w:qFormat/>
    <w:uiPriority w:val="0"/>
    <w:pPr>
      <w:keepNext/>
      <w:keepLines/>
      <w:numPr>
        <w:ilvl w:val="5"/>
        <w:numId w:val="1"/>
      </w:numPr>
      <w:adjustRightInd/>
      <w:spacing w:before="240" w:after="64" w:line="320" w:lineRule="auto"/>
      <w:textAlignment w:val="auto"/>
      <w:outlineLvl w:val="5"/>
    </w:pPr>
    <w:rPr>
      <w:rFonts w:asciiTheme="majorHAnsi" w:hAnsiTheme="majorHAnsi" w:eastAsiaTheme="majorEastAsia" w:cstheme="majorBidi"/>
      <w:b/>
      <w:bCs/>
      <w:kern w:val="2"/>
      <w:sz w:val="32"/>
      <w:szCs w:val="24"/>
    </w:rPr>
  </w:style>
  <w:style w:type="character" w:default="1" w:styleId="16">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djustRightInd/>
      <w:spacing w:after="120" w:line="240" w:lineRule="auto"/>
      <w:ind w:firstLine="0"/>
      <w:textAlignment w:val="auto"/>
    </w:pPr>
    <w:rPr>
      <w:rFonts w:ascii="宋体"/>
    </w:rPr>
  </w:style>
  <w:style w:type="paragraph" w:styleId="9">
    <w:name w:val="Body Text Indent"/>
    <w:basedOn w:val="1"/>
    <w:qFormat/>
    <w:uiPriority w:val="0"/>
    <w:pPr>
      <w:adjustRightInd/>
      <w:spacing w:after="120" w:line="240" w:lineRule="auto"/>
      <w:ind w:left="420" w:leftChars="200" w:firstLine="0"/>
      <w:textAlignment w:val="auto"/>
    </w:pPr>
    <w:rPr>
      <w:kern w:val="2"/>
      <w:szCs w:val="24"/>
    </w:rPr>
  </w:style>
  <w:style w:type="paragraph" w:styleId="10">
    <w:name w:val="toc 3"/>
    <w:basedOn w:val="1"/>
    <w:next w:val="1"/>
    <w:unhideWhenUsed/>
    <w:qFormat/>
    <w:uiPriority w:val="39"/>
    <w:pPr>
      <w:tabs>
        <w:tab w:val="left" w:pos="1560"/>
        <w:tab w:val="right" w:leader="dot" w:pos="8296"/>
      </w:tabs>
      <w:adjustRightInd/>
      <w:spacing w:line="360" w:lineRule="auto"/>
      <w:ind w:left="848" w:leftChars="265" w:firstLine="0"/>
      <w:textAlignment w:val="auto"/>
    </w:pPr>
    <w:rPr>
      <w:rFonts w:ascii="仿宋" w:eastAsia="仿宋" w:hAnsiTheme="minorHAnsi" w:cstheme="minorBidi"/>
      <w:kern w:val="2"/>
      <w:sz w:val="24"/>
      <w:szCs w:val="22"/>
    </w:rPr>
  </w:style>
  <w:style w:type="paragraph" w:styleId="11">
    <w:name w:val="Balloon Text"/>
    <w:basedOn w:val="1"/>
    <w:link w:val="34"/>
    <w:qFormat/>
    <w:uiPriority w:val="0"/>
    <w:pPr>
      <w:spacing w:line="240" w:lineRule="auto"/>
    </w:pPr>
    <w:rPr>
      <w:sz w:val="18"/>
      <w:szCs w:val="18"/>
    </w:rPr>
  </w:style>
  <w:style w:type="paragraph" w:styleId="12">
    <w:name w:val="footer"/>
    <w:basedOn w:val="1"/>
    <w:link w:val="28"/>
    <w:qFormat/>
    <w:uiPriority w:val="99"/>
    <w:pPr>
      <w:tabs>
        <w:tab w:val="center" w:pos="4153"/>
        <w:tab w:val="right" w:pos="8306"/>
      </w:tabs>
      <w:adjustRightInd/>
      <w:snapToGrid w:val="0"/>
      <w:spacing w:line="240" w:lineRule="auto"/>
      <w:ind w:firstLine="0"/>
      <w:jc w:val="left"/>
      <w:textAlignment w:val="auto"/>
    </w:pPr>
    <w:rPr>
      <w:kern w:val="2"/>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unhideWhenUsed/>
    <w:qFormat/>
    <w:uiPriority w:val="39"/>
    <w:pPr>
      <w:tabs>
        <w:tab w:val="left" w:pos="284"/>
        <w:tab w:val="right" w:leader="dot" w:pos="8296"/>
      </w:tabs>
      <w:adjustRightInd/>
      <w:spacing w:line="360" w:lineRule="auto"/>
      <w:ind w:firstLine="0"/>
      <w:textAlignment w:val="auto"/>
    </w:pPr>
    <w:rPr>
      <w:rFonts w:ascii="仿宋" w:eastAsia="仿宋" w:hAnsiTheme="minorHAnsi" w:cstheme="minorBidi"/>
      <w:b/>
      <w:kern w:val="2"/>
      <w:sz w:val="28"/>
      <w:szCs w:val="22"/>
    </w:rPr>
  </w:style>
  <w:style w:type="paragraph" w:styleId="15">
    <w:name w:val="toc 2"/>
    <w:basedOn w:val="1"/>
    <w:next w:val="1"/>
    <w:unhideWhenUsed/>
    <w:qFormat/>
    <w:uiPriority w:val="39"/>
    <w:pPr>
      <w:tabs>
        <w:tab w:val="left" w:pos="851"/>
        <w:tab w:val="right" w:leader="dot" w:pos="8296"/>
      </w:tabs>
      <w:adjustRightInd/>
      <w:spacing w:line="360" w:lineRule="auto"/>
      <w:ind w:left="378" w:leftChars="118" w:firstLine="0"/>
      <w:textAlignment w:val="auto"/>
    </w:pPr>
    <w:rPr>
      <w:rFonts w:ascii="仿宋" w:eastAsia="仿宋" w:hAnsiTheme="minorHAnsi" w:cstheme="minorBidi"/>
      <w:kern w:val="2"/>
      <w:sz w:val="24"/>
      <w:szCs w:val="22"/>
    </w:rPr>
  </w:style>
  <w:style w:type="table" w:styleId="18">
    <w:name w:val="Table Grid"/>
    <w:basedOn w:val="17"/>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标题 11"/>
    <w:basedOn w:val="1"/>
    <w:qFormat/>
    <w:uiPriority w:val="1"/>
    <w:pPr>
      <w:spacing w:before="154"/>
      <w:ind w:left="4"/>
      <w:jc w:val="center"/>
      <w:outlineLvl w:val="1"/>
    </w:pPr>
    <w:rPr>
      <w:b/>
      <w:bCs/>
      <w:sz w:val="32"/>
      <w:szCs w:val="32"/>
    </w:rPr>
  </w:style>
  <w:style w:type="paragraph" w:customStyle="1" w:styleId="20">
    <w:name w:val="List Paragraph"/>
    <w:basedOn w:val="1"/>
    <w:qFormat/>
    <w:uiPriority w:val="1"/>
    <w:pPr>
      <w:ind w:left="149" w:firstLine="420"/>
    </w:pPr>
  </w:style>
  <w:style w:type="character" w:customStyle="1" w:styleId="21">
    <w:name w:val="页眉 Char"/>
    <w:basedOn w:val="16"/>
    <w:link w:val="13"/>
    <w:uiPriority w:val="0"/>
    <w:rPr>
      <w:sz w:val="18"/>
      <w:szCs w:val="18"/>
    </w:rPr>
  </w:style>
  <w:style w:type="character" w:customStyle="1" w:styleId="22">
    <w:name w:val="标题 1 Char"/>
    <w:basedOn w:val="16"/>
    <w:link w:val="3"/>
    <w:qFormat/>
    <w:uiPriority w:val="0"/>
    <w:rPr>
      <w:rFonts w:ascii="仿宋" w:eastAsia="仿宋" w:hAnsiTheme="minorHAnsi" w:cstheme="minorBidi"/>
      <w:b/>
      <w:bCs/>
      <w:kern w:val="44"/>
      <w:sz w:val="44"/>
      <w:szCs w:val="44"/>
    </w:rPr>
  </w:style>
  <w:style w:type="character" w:customStyle="1" w:styleId="23">
    <w:name w:val="标题 2 Char"/>
    <w:basedOn w:val="16"/>
    <w:link w:val="4"/>
    <w:qFormat/>
    <w:uiPriority w:val="0"/>
    <w:rPr>
      <w:rFonts w:ascii="仿宋" w:eastAsia="仿宋" w:hAnsiTheme="minorHAnsi" w:cstheme="majorBidi"/>
      <w:b/>
      <w:bCs/>
      <w:kern w:val="2"/>
      <w:sz w:val="32"/>
      <w:szCs w:val="32"/>
    </w:rPr>
  </w:style>
  <w:style w:type="character" w:customStyle="1" w:styleId="24">
    <w:name w:val="标题 3 Char"/>
    <w:basedOn w:val="16"/>
    <w:link w:val="5"/>
    <w:qFormat/>
    <w:uiPriority w:val="0"/>
    <w:rPr>
      <w:rFonts w:ascii="仿宋" w:eastAsia="仿宋" w:hAnsiTheme="minorHAnsi" w:cstheme="minorBidi"/>
      <w:b/>
      <w:bCs/>
      <w:kern w:val="2"/>
      <w:sz w:val="32"/>
      <w:szCs w:val="32"/>
    </w:rPr>
  </w:style>
  <w:style w:type="character" w:customStyle="1" w:styleId="25">
    <w:name w:val="标题 4 Char"/>
    <w:basedOn w:val="16"/>
    <w:link w:val="6"/>
    <w:qFormat/>
    <w:uiPriority w:val="0"/>
    <w:rPr>
      <w:rFonts w:ascii="仿宋" w:eastAsia="仿宋" w:hAnsiTheme="minorHAnsi" w:cstheme="majorBidi"/>
      <w:b/>
      <w:bCs/>
      <w:kern w:val="2"/>
      <w:sz w:val="30"/>
      <w:szCs w:val="28"/>
    </w:rPr>
  </w:style>
  <w:style w:type="character" w:customStyle="1" w:styleId="26">
    <w:name w:val="标题 5 Char"/>
    <w:basedOn w:val="16"/>
    <w:link w:val="7"/>
    <w:uiPriority w:val="0"/>
    <w:rPr>
      <w:rFonts w:ascii="仿宋" w:eastAsia="仿宋" w:hAnsiTheme="minorHAnsi" w:cstheme="minorBidi"/>
      <w:b/>
      <w:bCs/>
      <w:kern w:val="2"/>
      <w:sz w:val="30"/>
      <w:szCs w:val="28"/>
    </w:rPr>
  </w:style>
  <w:style w:type="character" w:customStyle="1" w:styleId="27">
    <w:name w:val="标题 6 Char"/>
    <w:basedOn w:val="16"/>
    <w:link w:val="8"/>
    <w:qFormat/>
    <w:uiPriority w:val="0"/>
    <w:rPr>
      <w:rFonts w:asciiTheme="majorHAnsi" w:hAnsiTheme="majorHAnsi" w:eastAsiaTheme="majorEastAsia" w:cstheme="majorBidi"/>
      <w:b/>
      <w:bCs/>
      <w:kern w:val="2"/>
      <w:sz w:val="32"/>
      <w:szCs w:val="24"/>
    </w:rPr>
  </w:style>
  <w:style w:type="character" w:customStyle="1" w:styleId="28">
    <w:name w:val="页脚 Char"/>
    <w:basedOn w:val="16"/>
    <w:link w:val="12"/>
    <w:qFormat/>
    <w:uiPriority w:val="99"/>
    <w:rPr>
      <w:kern w:val="2"/>
      <w:sz w:val="18"/>
      <w:szCs w:val="18"/>
    </w:rPr>
  </w:style>
  <w:style w:type="paragraph" w:customStyle="1" w:styleId="29">
    <w:name w:val="列出段落1"/>
    <w:basedOn w:val="1"/>
    <w:link w:val="30"/>
    <w:qFormat/>
    <w:uiPriority w:val="34"/>
    <w:pPr>
      <w:adjustRightInd/>
      <w:spacing w:line="360" w:lineRule="auto"/>
      <w:ind w:firstLine="420" w:firstLineChars="200"/>
      <w:textAlignment w:val="auto"/>
    </w:pPr>
    <w:rPr>
      <w:rFonts w:ascii="Calibri" w:hAnsi="Calibri" w:eastAsia="仿宋"/>
      <w:kern w:val="2"/>
      <w:sz w:val="32"/>
      <w:szCs w:val="22"/>
    </w:rPr>
  </w:style>
  <w:style w:type="character" w:customStyle="1" w:styleId="30">
    <w:name w:val="列表段落 字符"/>
    <w:link w:val="29"/>
    <w:qFormat/>
    <w:locked/>
    <w:uiPriority w:val="34"/>
    <w:rPr>
      <w:rFonts w:ascii="Calibri" w:hAnsi="Calibri" w:eastAsia="仿宋"/>
      <w:kern w:val="2"/>
      <w:sz w:val="32"/>
      <w:szCs w:val="22"/>
    </w:rPr>
  </w:style>
  <w:style w:type="paragraph" w:customStyle="1" w:styleId="3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2">
    <w:name w:val="二级项目符号"/>
    <w:basedOn w:val="1"/>
    <w:link w:val="33"/>
    <w:qFormat/>
    <w:uiPriority w:val="0"/>
    <w:pPr>
      <w:numPr>
        <w:ilvl w:val="0"/>
        <w:numId w:val="2"/>
      </w:numPr>
      <w:tabs>
        <w:tab w:val="clear" w:pos="839"/>
      </w:tabs>
      <w:adjustRightInd/>
      <w:spacing w:line="360" w:lineRule="auto"/>
      <w:ind w:left="1333" w:hanging="482"/>
      <w:textAlignment w:val="auto"/>
    </w:pPr>
    <w:rPr>
      <w:color w:val="000000"/>
      <w:kern w:val="2"/>
      <w:sz w:val="24"/>
      <w:szCs w:val="24"/>
    </w:rPr>
  </w:style>
  <w:style w:type="character" w:customStyle="1" w:styleId="33">
    <w:name w:val="二级项目符号 Char"/>
    <w:basedOn w:val="16"/>
    <w:link w:val="32"/>
    <w:qFormat/>
    <w:uiPriority w:val="0"/>
    <w:rPr>
      <w:color w:val="000000"/>
      <w:kern w:val="2"/>
      <w:sz w:val="24"/>
      <w:szCs w:val="24"/>
    </w:rPr>
  </w:style>
  <w:style w:type="character" w:customStyle="1" w:styleId="34">
    <w:name w:val="批注框文本 Char"/>
    <w:basedOn w:val="16"/>
    <w:link w:val="11"/>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DE485-6D4B-480A-BB19-FD96ACF11C9C}">
  <ds:schemaRefs/>
</ds:datastoreItem>
</file>

<file path=docProps/app.xml><?xml version="1.0" encoding="utf-8"?>
<Properties xmlns="http://schemas.openxmlformats.org/officeDocument/2006/extended-properties" xmlns:vt="http://schemas.openxmlformats.org/officeDocument/2006/docPropsVTypes">
  <Template>Normal.dotm</Template>
  <Company>GJJ</Company>
  <Pages>12</Pages>
  <Words>4675</Words>
  <Characters>851</Characters>
  <Lines>7</Lines>
  <Paragraphs>11</Paragraphs>
  <TotalTime>66</TotalTime>
  <ScaleCrop>false</ScaleCrop>
  <LinksUpToDate>false</LinksUpToDate>
  <CharactersWithSpaces>5515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2020-10-19T02:12:00Z</dcterms:created>
  <dc:creator>WH</dc:creator>
  <cp:lastModifiedBy>Administrator</cp:lastModifiedBy>
  <dcterms:modified xsi:type="dcterms:W3CDTF">2025-03-10T09:08:21Z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