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2"/>
        </w:tabs>
        <w:ind w:left="141" w:leftChars="67"/>
        <w:outlineLvl w:val="0"/>
        <w:rPr>
          <w:rFonts w:hint="eastAsia" w:ascii="仿宋_GB2312" w:eastAsia="仿宋_GB2312"/>
          <w:b/>
          <w:color w:val="auto"/>
          <w:sz w:val="30"/>
          <w:szCs w:val="30"/>
        </w:rPr>
      </w:pPr>
      <w:bookmarkStart w:id="1" w:name="_GoBack"/>
      <w:r>
        <w:rPr>
          <w:rFonts w:hint="eastAsia" w:ascii="仿宋_GB2312" w:eastAsia="仿宋_GB2312"/>
          <w:b/>
          <w:color w:val="auto"/>
          <w:sz w:val="30"/>
          <w:szCs w:val="30"/>
        </w:rPr>
        <w:t>询价文件</w:t>
      </w:r>
      <w:bookmarkEnd w:id="1"/>
      <w:r>
        <w:rPr>
          <w:rFonts w:hint="eastAsia" w:ascii="仿宋_GB2312" w:eastAsia="仿宋_GB2312"/>
          <w:b/>
          <w:color w:val="auto"/>
          <w:sz w:val="30"/>
          <w:szCs w:val="30"/>
        </w:rPr>
        <w:t xml:space="preserve"> </w:t>
      </w:r>
    </w:p>
    <w:p>
      <w:pPr>
        <w:pStyle w:val="7"/>
        <w:numPr>
          <w:ilvl w:val="0"/>
          <w:numId w:val="1"/>
        </w:numPr>
        <w:spacing w:before="1"/>
        <w:ind w:left="0" w:firstLine="0"/>
        <w:rPr>
          <w:rFonts w:hint="eastAsia" w:ascii="仿宋" w:hAnsi="仿宋" w:eastAsia="仿宋" w:cs="仿宋"/>
          <w:color w:val="auto"/>
        </w:rPr>
      </w:pPr>
      <w:r>
        <w:rPr>
          <w:rFonts w:hint="eastAsia" w:ascii="仿宋" w:hAnsi="仿宋" w:eastAsia="仿宋" w:cs="仿宋"/>
          <w:color w:val="auto"/>
        </w:rPr>
        <w:t>技术要求书</w:t>
      </w:r>
    </w:p>
    <w:p>
      <w:pPr>
        <w:pStyle w:val="7"/>
        <w:spacing w:before="1"/>
        <w:ind w:left="0" w:firstLine="0"/>
        <w:jc w:val="both"/>
        <w:rPr>
          <w:rFonts w:hint="eastAsia" w:ascii="仿宋" w:hAnsi="仿宋" w:eastAsia="仿宋" w:cs="仿宋"/>
          <w:color w:val="auto"/>
        </w:rPr>
      </w:pPr>
    </w:p>
    <w:p>
      <w:pPr>
        <w:pStyle w:val="8"/>
        <w:numPr>
          <w:ilvl w:val="1"/>
          <w:numId w:val="2"/>
        </w:numPr>
        <w:tabs>
          <w:tab w:val="left" w:pos="574"/>
        </w:tabs>
        <w:autoSpaceDE w:val="0"/>
        <w:autoSpaceDN w:val="0"/>
        <w:adjustRightInd/>
        <w:spacing w:before="27" w:line="360" w:lineRule="auto"/>
        <w:textAlignment w:val="auto"/>
        <w:rPr>
          <w:rFonts w:hint="eastAsia" w:ascii="仿宋" w:hAnsi="仿宋" w:eastAsia="仿宋" w:cs="仿宋"/>
          <w:b/>
          <w:color w:val="auto"/>
          <w:sz w:val="24"/>
        </w:rPr>
      </w:pPr>
      <w:r>
        <w:rPr>
          <w:rFonts w:hint="eastAsia" w:ascii="仿宋" w:hAnsi="仿宋" w:eastAsia="仿宋" w:cs="仿宋"/>
          <w:b/>
          <w:color w:val="auto"/>
          <w:sz w:val="24"/>
        </w:rPr>
        <w:t>1、项目基本情况：</w:t>
      </w:r>
    </w:p>
    <w:p>
      <w:pPr>
        <w:autoSpaceDE w:val="0"/>
        <w:autoSpaceDN w:val="0"/>
        <w:adjustRightInd/>
        <w:spacing w:line="360" w:lineRule="auto"/>
        <w:ind w:firstLine="488" w:firstLineChars="200"/>
        <w:textAlignment w:val="auto"/>
        <w:rPr>
          <w:rFonts w:hint="eastAsia" w:ascii="仿宋" w:hAnsi="仿宋" w:eastAsia="仿宋" w:cs="仿宋"/>
          <w:color w:val="auto"/>
          <w:sz w:val="24"/>
        </w:rPr>
      </w:pPr>
      <w:r>
        <w:rPr>
          <w:rFonts w:hint="eastAsia" w:ascii="仿宋" w:hAnsi="仿宋" w:eastAsia="仿宋" w:cs="仿宋"/>
          <w:color w:val="auto"/>
          <w:spacing w:val="2"/>
          <w:sz w:val="24"/>
          <w:szCs w:val="22"/>
        </w:rPr>
        <w:t>依据《网络安全法》及公安机关的政策要求，我单位高度重视网络安全保障工作，为确保关键时间节点不出现安全事件,拟对重要系统开展等级保护测评工作，测评机构需要提供切实有效的整改方案、并提供整改咨询方案；对整改后的信息系统进行回归测评，并出具正式等级保护测评报告。最终达到国家等级保护相关要求,通过公安机关备案手续</w:t>
      </w:r>
      <w:r>
        <w:rPr>
          <w:rFonts w:hint="eastAsia" w:ascii="仿宋" w:hAnsi="仿宋" w:eastAsia="仿宋" w:cs="仿宋"/>
          <w:color w:val="auto"/>
          <w:sz w:val="24"/>
        </w:rPr>
        <w:t>。</w:t>
      </w:r>
    </w:p>
    <w:p>
      <w:pPr>
        <w:pStyle w:val="8"/>
        <w:numPr>
          <w:ilvl w:val="1"/>
          <w:numId w:val="2"/>
        </w:numPr>
        <w:tabs>
          <w:tab w:val="left" w:pos="574"/>
        </w:tabs>
        <w:autoSpaceDE w:val="0"/>
        <w:autoSpaceDN w:val="0"/>
        <w:adjustRightInd/>
        <w:spacing w:before="134" w:line="360" w:lineRule="auto"/>
        <w:textAlignment w:val="auto"/>
        <w:rPr>
          <w:rFonts w:hint="eastAsia" w:ascii="仿宋" w:hAnsi="仿宋" w:eastAsia="仿宋" w:cs="仿宋"/>
          <w:b/>
          <w:color w:val="auto"/>
          <w:sz w:val="24"/>
        </w:rPr>
      </w:pPr>
      <w:r>
        <w:rPr>
          <w:rFonts w:hint="eastAsia" w:ascii="仿宋" w:hAnsi="仿宋" w:eastAsia="仿宋" w:cs="仿宋"/>
          <w:b/>
          <w:color w:val="auto"/>
          <w:sz w:val="24"/>
        </w:rPr>
        <w:t>2、服务内容及范围：</w:t>
      </w:r>
    </w:p>
    <w:p>
      <w:pPr>
        <w:autoSpaceDE w:val="0"/>
        <w:autoSpaceDN w:val="0"/>
        <w:adjustRightInd/>
        <w:spacing w:line="360" w:lineRule="auto"/>
        <w:ind w:left="629"/>
        <w:textAlignment w:val="auto"/>
        <w:rPr>
          <w:rFonts w:hint="eastAsia" w:ascii="仿宋" w:hAnsi="仿宋" w:eastAsia="仿宋" w:cs="仿宋"/>
          <w:color w:val="auto"/>
          <w:sz w:val="24"/>
          <w:highlight w:val="yellow"/>
        </w:rPr>
      </w:pPr>
      <w:r>
        <w:rPr>
          <w:rFonts w:hint="eastAsia" w:ascii="仿宋" w:hAnsi="仿宋" w:eastAsia="仿宋" w:cs="仿宋"/>
          <w:color w:val="auto"/>
          <w:sz w:val="24"/>
        </w:rPr>
        <w:t>1、等级保护测评服务：</w:t>
      </w:r>
      <w:r>
        <w:rPr>
          <w:rFonts w:hint="eastAsia" w:ascii="仿宋" w:hAnsi="仿宋" w:eastAsia="仿宋" w:cs="仿宋"/>
          <w:color w:val="auto"/>
          <w:sz w:val="24"/>
        </w:rPr>
        <w:tab/>
      </w:r>
    </w:p>
    <w:p>
      <w:pPr>
        <w:ind w:left="629"/>
        <w:rPr>
          <w:rFonts w:hint="eastAsia" w:ascii="仿宋" w:hAnsi="仿宋" w:eastAsia="仿宋" w:cs="仿宋"/>
          <w:color w:val="auto"/>
          <w:sz w:val="24"/>
        </w:rPr>
      </w:pPr>
    </w:p>
    <w:tbl>
      <w:tblPr>
        <w:tblStyle w:val="6"/>
        <w:tblW w:w="7940" w:type="dxa"/>
        <w:tblInd w:w="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9"/>
        <w:gridCol w:w="4064"/>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649" w:type="dxa"/>
            <w:vAlign w:val="top"/>
          </w:tcPr>
          <w:p>
            <w:pPr>
              <w:ind w:firstLine="0"/>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4064" w:type="dxa"/>
            <w:vAlign w:val="top"/>
          </w:tcPr>
          <w:p>
            <w:pPr>
              <w:ind w:firstLine="0"/>
              <w:jc w:val="center"/>
              <w:rPr>
                <w:rFonts w:hint="eastAsia" w:ascii="仿宋" w:hAnsi="仿宋" w:eastAsia="仿宋" w:cs="仿宋"/>
                <w:color w:val="auto"/>
                <w:sz w:val="24"/>
              </w:rPr>
            </w:pPr>
            <w:r>
              <w:rPr>
                <w:rFonts w:hint="eastAsia" w:ascii="仿宋" w:hAnsi="仿宋" w:eastAsia="仿宋" w:cs="仿宋"/>
                <w:color w:val="auto"/>
                <w:sz w:val="24"/>
              </w:rPr>
              <w:t>系统名称</w:t>
            </w:r>
          </w:p>
        </w:tc>
        <w:tc>
          <w:tcPr>
            <w:tcW w:w="2227" w:type="dxa"/>
            <w:vAlign w:val="top"/>
          </w:tcPr>
          <w:p>
            <w:pPr>
              <w:ind w:firstLine="0"/>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649" w:type="dxa"/>
            <w:vAlign w:val="center"/>
          </w:tcPr>
          <w:p>
            <w:pPr>
              <w:ind w:firstLine="0"/>
              <w:jc w:val="center"/>
              <w:rPr>
                <w:rFonts w:hint="eastAsia" w:ascii="仿宋" w:hAnsi="仿宋" w:eastAsia="仿宋" w:cs="仿宋"/>
                <w:color w:val="auto"/>
                <w:sz w:val="24"/>
                <w:szCs w:val="22"/>
              </w:rPr>
            </w:pPr>
            <w:r>
              <w:rPr>
                <w:rFonts w:hint="eastAsia" w:ascii="仿宋" w:hAnsi="仿宋" w:eastAsia="仿宋" w:cs="仿宋"/>
                <w:color w:val="auto"/>
                <w:sz w:val="24"/>
                <w:szCs w:val="22"/>
              </w:rPr>
              <w:t>1</w:t>
            </w:r>
          </w:p>
        </w:tc>
        <w:tc>
          <w:tcPr>
            <w:tcW w:w="4064" w:type="dxa"/>
            <w:vAlign w:val="center"/>
          </w:tcPr>
          <w:p>
            <w:pPr>
              <w:ind w:firstLine="0"/>
              <w:jc w:val="center"/>
              <w:rPr>
                <w:rFonts w:hint="eastAsia" w:ascii="仿宋" w:hAnsi="仿宋" w:eastAsia="仿宋" w:cs="仿宋"/>
                <w:color w:val="auto"/>
                <w:sz w:val="24"/>
                <w:szCs w:val="22"/>
              </w:rPr>
            </w:pPr>
            <w:r>
              <w:rPr>
                <w:rFonts w:hint="eastAsia" w:ascii="仿宋" w:hAnsi="仿宋" w:eastAsia="仿宋" w:cs="仿宋"/>
                <w:color w:val="auto"/>
                <w:sz w:val="24"/>
                <w:szCs w:val="22"/>
              </w:rPr>
              <w:t>黄石市住房公积金管理平台</w:t>
            </w:r>
          </w:p>
        </w:tc>
        <w:tc>
          <w:tcPr>
            <w:tcW w:w="2227" w:type="dxa"/>
            <w:vAlign w:val="center"/>
          </w:tcPr>
          <w:p>
            <w:pPr>
              <w:ind w:firstLine="0"/>
              <w:jc w:val="center"/>
              <w:rPr>
                <w:rFonts w:ascii="仿宋" w:hAnsi="仿宋" w:eastAsia="仿宋" w:cs="仿宋"/>
                <w:color w:val="auto"/>
                <w:sz w:val="24"/>
                <w:szCs w:val="22"/>
              </w:rPr>
            </w:pPr>
            <w:r>
              <w:rPr>
                <w:rFonts w:hint="eastAsia" w:ascii="仿宋" w:hAnsi="仿宋" w:eastAsia="仿宋" w:cs="仿宋"/>
                <w:color w:val="auto"/>
                <w:sz w:val="24"/>
                <w:szCs w:val="22"/>
              </w:rPr>
              <w:t>三级</w:t>
            </w:r>
          </w:p>
        </w:tc>
      </w:tr>
    </w:tbl>
    <w:p>
      <w:pPr>
        <w:autoSpaceDE w:val="0"/>
        <w:autoSpaceDN w:val="0"/>
        <w:adjustRightInd/>
        <w:spacing w:line="360" w:lineRule="auto"/>
        <w:ind w:firstLine="488" w:firstLineChars="200"/>
        <w:textAlignment w:val="auto"/>
        <w:rPr>
          <w:rFonts w:hint="eastAsia" w:ascii="仿宋" w:hAnsi="仿宋" w:eastAsia="仿宋" w:cs="仿宋"/>
          <w:color w:val="auto"/>
          <w:spacing w:val="2"/>
          <w:sz w:val="24"/>
        </w:rPr>
      </w:pPr>
      <w:r>
        <w:rPr>
          <w:rFonts w:hint="eastAsia" w:ascii="仿宋" w:hAnsi="仿宋" w:eastAsia="仿宋" w:cs="仿宋"/>
          <w:color w:val="auto"/>
          <w:spacing w:val="2"/>
          <w:sz w:val="24"/>
        </w:rPr>
        <w:t>参照《GBT22239-2019 网络安全等级保护基本要求》和《GB/T28448-2019 网络安全等级保护测评要求》等标准规范要求，开展信息系统等级保护测评及整改工作。测评及整改范围为项目目标所涉及的基础网络环境、主机层面、应用层、数据库层及相关安全辅助设备与管理制度。服务目标为项目目标最终通过公安部门及相关部门的等级保护检查要求。</w:t>
      </w:r>
    </w:p>
    <w:p>
      <w:pPr>
        <w:autoSpaceDE w:val="0"/>
        <w:autoSpaceDN w:val="0"/>
        <w:adjustRightInd/>
        <w:spacing w:before="166" w:line="360" w:lineRule="auto"/>
        <w:ind w:left="149" w:right="112" w:firstLine="479"/>
        <w:textAlignment w:val="auto"/>
        <w:rPr>
          <w:rFonts w:hint="eastAsia" w:ascii="仿宋" w:hAnsi="仿宋" w:eastAsia="仿宋" w:cs="仿宋"/>
          <w:color w:val="auto"/>
          <w:sz w:val="24"/>
        </w:rPr>
      </w:pPr>
      <w:r>
        <w:rPr>
          <w:rFonts w:hint="eastAsia" w:ascii="仿宋" w:hAnsi="仿宋" w:eastAsia="仿宋" w:cs="仿宋"/>
          <w:b/>
          <w:color w:val="auto"/>
          <w:sz w:val="24"/>
        </w:rPr>
        <w:t>服务期：</w:t>
      </w:r>
      <w:r>
        <w:rPr>
          <w:rFonts w:hint="eastAsia" w:ascii="仿宋" w:hAnsi="仿宋" w:eastAsia="仿宋" w:cs="仿宋"/>
          <w:color w:val="auto"/>
          <w:sz w:val="24"/>
        </w:rPr>
        <w:t>满足采购人要求，合同中约定.</w:t>
      </w:r>
    </w:p>
    <w:p>
      <w:pPr>
        <w:pStyle w:val="8"/>
        <w:numPr>
          <w:ilvl w:val="1"/>
          <w:numId w:val="2"/>
        </w:numPr>
        <w:tabs>
          <w:tab w:val="left" w:pos="574"/>
        </w:tabs>
        <w:autoSpaceDE w:val="0"/>
        <w:autoSpaceDN w:val="0"/>
        <w:adjustRightInd/>
        <w:spacing w:before="135"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3、标准和规范</w:t>
      </w:r>
    </w:p>
    <w:p>
      <w:pPr>
        <w:autoSpaceDE w:val="0"/>
        <w:autoSpaceDN w:val="0"/>
        <w:adjustRightInd/>
        <w:spacing w:line="360" w:lineRule="auto"/>
        <w:ind w:left="420" w:leftChars="200"/>
        <w:textAlignment w:val="auto"/>
        <w:rPr>
          <w:rFonts w:hint="eastAsia" w:ascii="仿宋" w:hAnsi="仿宋" w:eastAsia="仿宋" w:cs="仿宋"/>
          <w:color w:val="auto"/>
          <w:sz w:val="24"/>
        </w:rPr>
      </w:pPr>
      <w:r>
        <w:rPr>
          <w:rFonts w:hint="eastAsia" w:ascii="仿宋" w:hAnsi="仿宋" w:eastAsia="仿宋" w:cs="仿宋"/>
          <w:color w:val="auto"/>
          <w:sz w:val="24"/>
        </w:rPr>
        <w:t>《GBT 22240—2008 信息安全技术 信息系统安全保护等级定级指南》</w:t>
      </w:r>
    </w:p>
    <w:p>
      <w:pPr>
        <w:autoSpaceDE w:val="0"/>
        <w:autoSpaceDN w:val="0"/>
        <w:adjustRightInd/>
        <w:spacing w:line="360" w:lineRule="auto"/>
        <w:ind w:left="420" w:leftChars="200"/>
        <w:textAlignment w:val="auto"/>
        <w:rPr>
          <w:rFonts w:hint="eastAsia" w:ascii="仿宋" w:hAnsi="仿宋" w:eastAsia="仿宋" w:cs="仿宋"/>
          <w:color w:val="auto"/>
          <w:sz w:val="24"/>
        </w:rPr>
      </w:pPr>
      <w:r>
        <w:rPr>
          <w:rFonts w:hint="eastAsia" w:ascii="仿宋" w:hAnsi="仿宋" w:eastAsia="仿宋" w:cs="仿宋"/>
          <w:color w:val="auto"/>
          <w:sz w:val="24"/>
        </w:rPr>
        <w:t>《GBT22239-2019 网络安全等级保护基本要求》</w:t>
      </w:r>
    </w:p>
    <w:p>
      <w:pPr>
        <w:autoSpaceDE w:val="0"/>
        <w:autoSpaceDN w:val="0"/>
        <w:adjustRightInd/>
        <w:spacing w:line="360" w:lineRule="auto"/>
        <w:ind w:left="420" w:leftChars="200"/>
        <w:textAlignment w:val="auto"/>
        <w:rPr>
          <w:rFonts w:hint="eastAsia" w:ascii="仿宋" w:hAnsi="仿宋" w:eastAsia="仿宋" w:cs="仿宋"/>
          <w:color w:val="auto"/>
          <w:sz w:val="24"/>
        </w:rPr>
      </w:pPr>
      <w:r>
        <w:rPr>
          <w:rFonts w:hint="eastAsia" w:ascii="仿宋" w:hAnsi="仿宋" w:eastAsia="仿宋" w:cs="仿宋"/>
          <w:color w:val="auto"/>
          <w:sz w:val="24"/>
        </w:rPr>
        <w:t>《GB/T25070-2019 网络安全等级保护设计技术要求》</w:t>
      </w:r>
    </w:p>
    <w:p>
      <w:pPr>
        <w:autoSpaceDE w:val="0"/>
        <w:autoSpaceDN w:val="0"/>
        <w:adjustRightInd/>
        <w:spacing w:line="360" w:lineRule="auto"/>
        <w:ind w:left="420" w:leftChars="200"/>
        <w:textAlignment w:val="auto"/>
        <w:rPr>
          <w:rFonts w:hint="eastAsia" w:ascii="仿宋" w:hAnsi="仿宋" w:eastAsia="仿宋" w:cs="仿宋"/>
          <w:color w:val="auto"/>
          <w:sz w:val="24"/>
        </w:rPr>
      </w:pPr>
      <w:r>
        <w:rPr>
          <w:rFonts w:hint="eastAsia" w:ascii="仿宋" w:hAnsi="仿宋" w:eastAsia="仿宋" w:cs="仿宋"/>
          <w:color w:val="auto"/>
          <w:sz w:val="24"/>
        </w:rPr>
        <w:t>《GB/T28448-2019 网络安全等级保护测评要求》</w:t>
      </w:r>
    </w:p>
    <w:p>
      <w:pPr>
        <w:autoSpaceDE w:val="0"/>
        <w:autoSpaceDN w:val="0"/>
        <w:adjustRightInd/>
        <w:spacing w:line="360" w:lineRule="auto"/>
        <w:ind w:left="420" w:leftChars="200"/>
        <w:textAlignment w:val="auto"/>
        <w:rPr>
          <w:rFonts w:hint="eastAsia" w:ascii="仿宋" w:hAnsi="仿宋" w:eastAsia="仿宋" w:cs="仿宋"/>
          <w:color w:val="auto"/>
          <w:sz w:val="24"/>
        </w:rPr>
      </w:pPr>
      <w:r>
        <w:rPr>
          <w:rFonts w:hint="eastAsia" w:ascii="仿宋" w:hAnsi="仿宋" w:eastAsia="仿宋" w:cs="仿宋"/>
          <w:color w:val="auto"/>
          <w:sz w:val="24"/>
        </w:rPr>
        <w:t>《信息安全等级保护备案实施细则》（公信安[2007]1360 号）</w:t>
      </w:r>
    </w:p>
    <w:p>
      <w:pPr>
        <w:pStyle w:val="8"/>
        <w:numPr>
          <w:ilvl w:val="1"/>
          <w:numId w:val="2"/>
        </w:numPr>
        <w:tabs>
          <w:tab w:val="left" w:pos="574"/>
        </w:tabs>
        <w:autoSpaceDE w:val="0"/>
        <w:autoSpaceDN w:val="0"/>
        <w:adjustRightInd/>
        <w:spacing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4、实施原则</w:t>
      </w:r>
    </w:p>
    <w:p>
      <w:pPr>
        <w:autoSpaceDE w:val="0"/>
        <w:autoSpaceDN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本项目实施方案设计与具体实施必须满足以下原则：</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保密原则：对测评的过程数据和结果数据严格保密，未经授权不得泄露给任何单位和个人，不得利用此数据进行任何侵害招标方的行为。</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标准性原则：测评方案的设计与实施应依据国家信息系统安全等级保护的相关标准进行。</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规范性原则：投标方的工作中的过程和文档，具有很好的规范性，可以便于项目的跟踪和控制。</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可控性原则：项目安排工作进度要跟上进度表的安排，保证工作的可控性。</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最小影响原则：测评工作应尽可能小的影响系统和网络，并在可控范围内；测评工作不能对现有信息系统的正常运行、业务的正常开展产生任何影响。</w:t>
      </w:r>
    </w:p>
    <w:p>
      <w:pPr>
        <w:pStyle w:val="8"/>
        <w:numPr>
          <w:ilvl w:val="0"/>
          <w:numId w:val="3"/>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2"/>
        </w:rPr>
      </w:pPr>
      <w:r>
        <w:rPr>
          <w:rFonts w:hint="eastAsia" w:ascii="仿宋" w:hAnsi="仿宋" w:eastAsia="仿宋" w:cs="仿宋"/>
          <w:color w:val="auto"/>
          <w:sz w:val="24"/>
        </w:rPr>
        <w:t>整体性原则：测评的范围和内容应当整体全面，包括国家等级保护相关要求涉及的各个层面。</w:t>
      </w:r>
    </w:p>
    <w:p>
      <w:pPr>
        <w:pStyle w:val="8"/>
        <w:numPr>
          <w:ilvl w:val="1"/>
          <w:numId w:val="2"/>
        </w:numPr>
        <w:tabs>
          <w:tab w:val="left" w:pos="574"/>
        </w:tabs>
        <w:autoSpaceDE w:val="0"/>
        <w:autoSpaceDN w:val="0"/>
        <w:adjustRightInd/>
        <w:spacing w:before="1"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5、整体要求</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投标人应详细描述本次信息系统安全等级保护测评的整体实施方案，包括项目概述、等级保护测评方案、测试过程中需使用测试设备清单、时间安排、阶段性文档提交等。</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投标人应完成信息系统定级报告及定级材料的准备、整理，完成信息系统去公安机关的备案工作。</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投标人应详细描述测评人员的组成、资质及各自职责的划分（参与现场人员的资质证明或项目经理具备中级及以上测评资质或信息安全ISO27001审核员资质）。投标人具备国家网络安全等级保护工作协调小组颁发的《网络安全等级保护测评机构推荐证书》（近三年被主管部门停业整改过的测评机构不能参与本项目），应配置有测评资质的专业人员进行本次信息安全等级保护测评工作。投标人参与测评人员不少于4人，必须提供高级测评师资质证明或中国网络安全审查技术与认证中心（CCRC）出具的专业信息安全服务资质（二级或更高级）。</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本次信息系统安全等级保护测评实施过程中所使用到的各种工具软件由投标人推荐，经招标人确认后由投标人提供并在信息系统等级保护测评中使用。</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信息系统安全等级保护测评需要的运行环境（如场地、网络环境等）由招标人提供，投标人应详细描述需要的运行环境的具体要求。</w:t>
      </w:r>
    </w:p>
    <w:p>
      <w:pPr>
        <w:pStyle w:val="8"/>
        <w:numPr>
          <w:ilvl w:val="0"/>
          <w:numId w:val="4"/>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rPr>
      </w:pPr>
      <w:r>
        <w:rPr>
          <w:rFonts w:hint="eastAsia" w:ascii="仿宋" w:hAnsi="仿宋" w:eastAsia="仿宋" w:cs="仿宋"/>
          <w:color w:val="auto"/>
          <w:sz w:val="24"/>
        </w:rPr>
        <w:t>投标人应提供本次信息系统安全等级保护整改的整体实施方案，包括项目时间安排、阶段性文档提交等，并负责实施整改。</w:t>
      </w:r>
    </w:p>
    <w:p>
      <w:pPr>
        <w:pStyle w:val="8"/>
        <w:numPr>
          <w:ilvl w:val="1"/>
          <w:numId w:val="2"/>
        </w:numPr>
        <w:tabs>
          <w:tab w:val="left" w:pos="574"/>
        </w:tabs>
        <w:autoSpaceDE w:val="0"/>
        <w:autoSpaceDN w:val="0"/>
        <w:adjustRightInd/>
        <w:spacing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6、专用工具要求</w:t>
      </w:r>
    </w:p>
    <w:p>
      <w:pPr>
        <w:autoSpaceDE w:val="0"/>
        <w:autoSpaceDN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项目涉及工程实施和验收测试所需的工具，由投标方负责提供。用于测评的工具主要包括服务器安全测评工具、网络设备安全测评工具、终端计算机安全测评工具、网站等应用系统安全测评工具等。在使用前，应对工具进行测评，如果需要则对工具进行软件或代码升级。</w:t>
      </w:r>
    </w:p>
    <w:p>
      <w:pPr>
        <w:pStyle w:val="8"/>
        <w:numPr>
          <w:ilvl w:val="1"/>
          <w:numId w:val="2"/>
        </w:numPr>
        <w:tabs>
          <w:tab w:val="left" w:pos="574"/>
        </w:tabs>
        <w:autoSpaceDE w:val="0"/>
        <w:autoSpaceDN w:val="0"/>
        <w:adjustRightInd/>
        <w:spacing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7、安全管理要求</w:t>
      </w:r>
    </w:p>
    <w:p>
      <w:pPr>
        <w:autoSpaceDE w:val="0"/>
        <w:autoSpaceDN w:val="0"/>
        <w:adjustRightInd/>
        <w:spacing w:line="360" w:lineRule="auto"/>
        <w:ind w:firstLine="480" w:firstLineChars="200"/>
        <w:textAlignment w:val="auto"/>
        <w:rPr>
          <w:rFonts w:hint="eastAsia" w:ascii="仿宋" w:hAnsi="仿宋" w:eastAsia="仿宋" w:cs="仿宋"/>
          <w:color w:val="auto"/>
          <w:sz w:val="20"/>
        </w:rPr>
      </w:pPr>
      <w:r>
        <w:rPr>
          <w:rFonts w:hint="eastAsia" w:ascii="仿宋" w:hAnsi="仿宋" w:eastAsia="仿宋" w:cs="仿宋"/>
          <w:color w:val="auto"/>
          <w:sz w:val="24"/>
        </w:rPr>
        <w:t>为做好全过程的安全保密工作，在等级保护测评前、中、后三个阶段都要做好安全保密工作。</w:t>
      </w:r>
    </w:p>
    <w:p>
      <w:pPr>
        <w:pStyle w:val="8"/>
        <w:numPr>
          <w:ilvl w:val="2"/>
          <w:numId w:val="5"/>
        </w:numPr>
        <w:tabs>
          <w:tab w:val="left" w:pos="814"/>
        </w:tabs>
        <w:autoSpaceDE w:val="0"/>
        <w:autoSpaceDN w:val="0"/>
        <w:adjustRightInd/>
        <w:spacing w:line="360" w:lineRule="auto"/>
        <w:textAlignment w:val="auto"/>
        <w:rPr>
          <w:rFonts w:hint="eastAsia" w:ascii="仿宋" w:hAnsi="仿宋" w:eastAsia="仿宋" w:cs="仿宋"/>
          <w:color w:val="auto"/>
          <w:sz w:val="24"/>
        </w:rPr>
      </w:pPr>
      <w:r>
        <w:rPr>
          <w:rFonts w:hint="eastAsia" w:ascii="仿宋" w:hAnsi="仿宋" w:eastAsia="仿宋" w:cs="仿宋"/>
          <w:b/>
          <w:color w:val="auto"/>
          <w:sz w:val="24"/>
        </w:rPr>
        <w:t>A、等级保护测评前</w:t>
      </w:r>
    </w:p>
    <w:p>
      <w:pPr>
        <w:pStyle w:val="8"/>
        <w:numPr>
          <w:ilvl w:val="0"/>
          <w:numId w:val="6"/>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对等级保护测评人员要进行安全保密教育，制定安全保密措施；</w:t>
      </w:r>
    </w:p>
    <w:p>
      <w:pPr>
        <w:pStyle w:val="8"/>
        <w:numPr>
          <w:ilvl w:val="0"/>
          <w:numId w:val="6"/>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签订安全保密协议。</w:t>
      </w:r>
    </w:p>
    <w:p>
      <w:pPr>
        <w:pStyle w:val="8"/>
        <w:numPr>
          <w:ilvl w:val="2"/>
          <w:numId w:val="5"/>
        </w:numPr>
        <w:tabs>
          <w:tab w:val="left" w:pos="814"/>
        </w:tabs>
        <w:autoSpaceDE w:val="0"/>
        <w:autoSpaceDN w:val="0"/>
        <w:adjustRightInd/>
        <w:spacing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B、等级保护测评中</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对被测单位的性质、机房物理位置、网络与系统、应用与服务、资料与数据、人员与管理等方面的信息进行严格的安全保密管理；</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等级保护测评工具应经过严格测试和检验，确保不对被测评系统造成损失，工作结束后不驻留任何程序；</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对被测单位信息系统的信息资产、发现的脆弱性和发生过的安全事件等威胁情况要控制知情范围；</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对测评设备、介质进行严格的保密管理；</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工作过程中对人员要实施封闭式集中管理；</w:t>
      </w:r>
    </w:p>
    <w:p>
      <w:pPr>
        <w:pStyle w:val="8"/>
        <w:numPr>
          <w:ilvl w:val="0"/>
          <w:numId w:val="7"/>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对进场人员遵守被测单位的相关管理规定。</w:t>
      </w:r>
    </w:p>
    <w:p>
      <w:pPr>
        <w:pStyle w:val="8"/>
        <w:numPr>
          <w:ilvl w:val="2"/>
          <w:numId w:val="5"/>
        </w:numPr>
        <w:tabs>
          <w:tab w:val="left" w:pos="814"/>
        </w:tabs>
        <w:autoSpaceDE w:val="0"/>
        <w:autoSpaceDN w:val="0"/>
        <w:adjustRightInd/>
        <w:spacing w:before="1"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C、等级保护测评后</w:t>
      </w:r>
    </w:p>
    <w:p>
      <w:pPr>
        <w:pStyle w:val="8"/>
        <w:numPr>
          <w:ilvl w:val="0"/>
          <w:numId w:val="8"/>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认真清退各种文档、资料和数据并予以销毁，确保工作过程中敏感数据不被泄漏；</w:t>
      </w:r>
    </w:p>
    <w:p>
      <w:pPr>
        <w:pStyle w:val="8"/>
        <w:numPr>
          <w:ilvl w:val="0"/>
          <w:numId w:val="8"/>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现场工作结束后，按被测单位的要求及时还原系统，确保系统中不遗留任何代码或可执行程序；</w:t>
      </w:r>
    </w:p>
    <w:p>
      <w:pPr>
        <w:pStyle w:val="8"/>
        <w:numPr>
          <w:ilvl w:val="0"/>
          <w:numId w:val="8"/>
        </w:numPr>
        <w:tabs>
          <w:tab w:val="left" w:pos="989"/>
          <w:tab w:val="left" w:pos="990"/>
        </w:tabs>
        <w:autoSpaceDE w:val="0"/>
        <w:autoSpaceDN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rPr>
        <w:t>在其他风险测评任务或宣传材料中不涉及被测单位的秘密、敏感情况。</w:t>
      </w:r>
    </w:p>
    <w:p>
      <w:pPr>
        <w:pStyle w:val="8"/>
        <w:numPr>
          <w:ilvl w:val="1"/>
          <w:numId w:val="9"/>
        </w:numPr>
        <w:tabs>
          <w:tab w:val="left" w:pos="574"/>
        </w:tabs>
        <w:autoSpaceDE w:val="0"/>
        <w:autoSpaceDN w:val="0"/>
        <w:adjustRightInd/>
        <w:spacing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8、文档要求</w:t>
      </w:r>
    </w:p>
    <w:p>
      <w:pPr>
        <w:autoSpaceDE w:val="0"/>
        <w:autoSpaceDN w:val="0"/>
        <w:adjustRightInd/>
        <w:spacing w:line="360" w:lineRule="auto"/>
        <w:ind w:firstLine="480" w:firstLineChars="200"/>
        <w:textAlignment w:val="auto"/>
        <w:rPr>
          <w:rFonts w:hint="eastAsia" w:ascii="仿宋" w:hAnsi="仿宋" w:eastAsia="仿宋" w:cs="仿宋"/>
          <w:color w:val="auto"/>
          <w:sz w:val="17"/>
        </w:rPr>
      </w:pPr>
      <w:r>
        <w:rPr>
          <w:rFonts w:hint="eastAsia" w:ascii="仿宋" w:hAnsi="仿宋" w:eastAsia="仿宋" w:cs="仿宋"/>
          <w:color w:val="auto"/>
          <w:sz w:val="24"/>
        </w:rPr>
        <w:t>文档或报告的编写应完整清晰</w:t>
      </w:r>
      <w:r>
        <w:rPr>
          <w:rFonts w:hint="eastAsia" w:ascii="仿宋" w:hAnsi="仿宋" w:eastAsia="仿宋" w:cs="仿宋"/>
          <w:color w:val="auto"/>
          <w:spacing w:val="-51"/>
          <w:sz w:val="24"/>
        </w:rPr>
        <w:t>、</w:t>
      </w:r>
      <w:r>
        <w:rPr>
          <w:rFonts w:hint="eastAsia" w:ascii="仿宋" w:hAnsi="仿宋" w:eastAsia="仿宋" w:cs="仿宋"/>
          <w:color w:val="auto"/>
          <w:sz w:val="24"/>
        </w:rPr>
        <w:t>用词规范</w:t>
      </w:r>
      <w:r>
        <w:rPr>
          <w:rFonts w:hint="eastAsia" w:ascii="仿宋" w:hAnsi="仿宋" w:eastAsia="仿宋" w:cs="仿宋"/>
          <w:color w:val="auto"/>
          <w:spacing w:val="-51"/>
          <w:sz w:val="24"/>
        </w:rPr>
        <w:t>、</w:t>
      </w:r>
      <w:r>
        <w:rPr>
          <w:rFonts w:hint="eastAsia" w:ascii="仿宋" w:hAnsi="仿宋" w:eastAsia="仿宋" w:cs="仿宋"/>
          <w:color w:val="auto"/>
          <w:sz w:val="24"/>
        </w:rPr>
        <w:t>简明扼要</w:t>
      </w:r>
      <w:r>
        <w:rPr>
          <w:rFonts w:hint="eastAsia" w:ascii="仿宋" w:hAnsi="仿宋" w:eastAsia="仿宋" w:cs="仿宋"/>
          <w:color w:val="auto"/>
          <w:spacing w:val="-51"/>
          <w:sz w:val="24"/>
        </w:rPr>
        <w:t>，</w:t>
      </w:r>
      <w:r>
        <w:rPr>
          <w:rFonts w:hint="eastAsia" w:ascii="仿宋" w:hAnsi="仿宋" w:eastAsia="仿宋" w:cs="仿宋"/>
          <w:color w:val="auto"/>
          <w:sz w:val="24"/>
        </w:rPr>
        <w:t>指出的问题应明确合理、</w:t>
      </w:r>
      <w:r>
        <w:rPr>
          <w:rFonts w:hint="eastAsia" w:ascii="仿宋" w:hAnsi="仿宋" w:eastAsia="仿宋" w:cs="仿宋"/>
          <w:color w:val="auto"/>
          <w:spacing w:val="2"/>
          <w:sz w:val="24"/>
        </w:rPr>
        <w:t>符合逻辑、且有证据</w:t>
      </w:r>
      <w:r>
        <w:rPr>
          <w:rFonts w:hint="eastAsia" w:ascii="仿宋" w:hAnsi="仿宋" w:eastAsia="仿宋" w:cs="仿宋"/>
          <w:color w:val="auto"/>
          <w:spacing w:val="4"/>
          <w:sz w:val="24"/>
        </w:rPr>
        <w:t>，</w:t>
      </w:r>
      <w:r>
        <w:rPr>
          <w:rFonts w:hint="eastAsia" w:ascii="仿宋" w:hAnsi="仿宋" w:eastAsia="仿宋" w:cs="仿宋"/>
          <w:color w:val="auto"/>
          <w:spacing w:val="2"/>
          <w:sz w:val="24"/>
        </w:rPr>
        <w:t>出具的结论应公正客</w:t>
      </w:r>
      <w:r>
        <w:rPr>
          <w:rFonts w:hint="eastAsia" w:ascii="仿宋" w:hAnsi="仿宋" w:eastAsia="仿宋" w:cs="仿宋"/>
          <w:color w:val="auto"/>
          <w:spacing w:val="4"/>
          <w:sz w:val="24"/>
        </w:rPr>
        <w:t>观</w:t>
      </w:r>
      <w:r>
        <w:rPr>
          <w:rFonts w:hint="eastAsia" w:ascii="仿宋" w:hAnsi="仿宋" w:eastAsia="仿宋" w:cs="仿宋"/>
          <w:color w:val="auto"/>
          <w:spacing w:val="2"/>
          <w:sz w:val="24"/>
        </w:rPr>
        <w:t>、实事求是，提出的</w:t>
      </w:r>
      <w:r>
        <w:rPr>
          <w:rFonts w:hint="eastAsia" w:ascii="仿宋" w:hAnsi="仿宋" w:eastAsia="仿宋" w:cs="仿宋"/>
          <w:color w:val="auto"/>
          <w:spacing w:val="4"/>
          <w:sz w:val="24"/>
        </w:rPr>
        <w:t>建</w:t>
      </w:r>
      <w:r>
        <w:rPr>
          <w:rFonts w:hint="eastAsia" w:ascii="仿宋" w:hAnsi="仿宋" w:eastAsia="仿宋" w:cs="仿宋"/>
          <w:color w:val="auto"/>
          <w:spacing w:val="2"/>
          <w:sz w:val="24"/>
        </w:rPr>
        <w:t>议应符合国家</w:t>
      </w:r>
      <w:r>
        <w:rPr>
          <w:rFonts w:hint="eastAsia" w:ascii="仿宋" w:hAnsi="仿宋" w:eastAsia="仿宋" w:cs="仿宋"/>
          <w:color w:val="auto"/>
          <w:sz w:val="24"/>
        </w:rPr>
        <w:t>标准规范、富有建设性和可操作性。</w:t>
      </w:r>
    </w:p>
    <w:p>
      <w:pPr>
        <w:pStyle w:val="8"/>
        <w:numPr>
          <w:ilvl w:val="1"/>
          <w:numId w:val="9"/>
        </w:numPr>
        <w:tabs>
          <w:tab w:val="left" w:pos="574"/>
        </w:tabs>
        <w:autoSpaceDE w:val="0"/>
        <w:autoSpaceDN w:val="0"/>
        <w:adjustRightInd/>
        <w:spacing w:before="26" w:line="360" w:lineRule="auto"/>
        <w:textAlignment w:val="auto"/>
        <w:rPr>
          <w:rFonts w:hint="eastAsia" w:ascii="仿宋" w:hAnsi="仿宋" w:eastAsia="仿宋" w:cs="仿宋"/>
          <w:b/>
          <w:color w:val="auto"/>
          <w:sz w:val="20"/>
        </w:rPr>
      </w:pPr>
      <w:r>
        <w:rPr>
          <w:rFonts w:hint="eastAsia" w:ascii="仿宋" w:hAnsi="仿宋" w:eastAsia="仿宋" w:cs="仿宋"/>
          <w:b/>
          <w:color w:val="auto"/>
          <w:sz w:val="24"/>
        </w:rPr>
        <w:t>9、测评公司综合实力要求</w:t>
      </w:r>
    </w:p>
    <w:p>
      <w:pPr>
        <w:autoSpaceDE w:val="0"/>
        <w:autoSpaceDN w:val="0"/>
        <w:adjustRightInd/>
        <w:spacing w:line="360" w:lineRule="auto"/>
        <w:ind w:firstLine="480" w:firstLineChars="200"/>
        <w:textAlignment w:val="auto"/>
        <w:rPr>
          <w:rFonts w:hint="eastAsia" w:ascii="仿宋" w:hAnsi="仿宋" w:eastAsia="仿宋" w:cs="仿宋"/>
          <w:color w:val="auto"/>
          <w:sz w:val="22"/>
        </w:rPr>
      </w:pPr>
      <w:r>
        <w:rPr>
          <w:rFonts w:hint="eastAsia" w:ascii="仿宋" w:hAnsi="仿宋" w:eastAsia="仿宋" w:cs="仿宋"/>
          <w:color w:val="auto"/>
          <w:sz w:val="24"/>
        </w:rPr>
        <w:t>投标方应提供机构背景材料（必须提供高级测评师资质或中国网络安全审查技术与认证中心（CCRC）出具的专业信息安全服务资质（二级或更高级））、等级保护测评专业资质及其他认为可以体现技术能力的资质（信息安全专业服务资质或技术能力具有中国合格评定国家认可委员会（CNAS）认证颁发的实验室认可证书）。投标方应提供测评成员的技术背景资历资料、从事测评的经验、人力资源的组织方式、项目实施的管理方式、项目成员的角色和责任。</w:t>
      </w:r>
    </w:p>
    <w:p>
      <w:pPr>
        <w:pStyle w:val="8"/>
        <w:numPr>
          <w:ilvl w:val="1"/>
          <w:numId w:val="9"/>
        </w:numPr>
        <w:tabs>
          <w:tab w:val="left" w:pos="574"/>
        </w:tabs>
        <w:autoSpaceDE w:val="0"/>
        <w:autoSpaceDN w:val="0"/>
        <w:adjustRightInd/>
        <w:spacing w:before="26" w:line="360" w:lineRule="auto"/>
        <w:textAlignment w:val="auto"/>
        <w:rPr>
          <w:rFonts w:hint="eastAsia" w:ascii="仿宋" w:hAnsi="仿宋" w:eastAsia="仿宋" w:cs="仿宋"/>
          <w:color w:val="auto"/>
          <w:sz w:val="24"/>
        </w:rPr>
      </w:pPr>
      <w:r>
        <w:rPr>
          <w:rFonts w:hint="eastAsia" w:ascii="仿宋" w:hAnsi="仿宋" w:eastAsia="仿宋" w:cs="仿宋"/>
          <w:b/>
          <w:color w:val="auto"/>
          <w:sz w:val="24"/>
        </w:rPr>
        <w:t>10、售后服务</w:t>
      </w:r>
    </w:p>
    <w:p>
      <w:pPr>
        <w:autoSpaceDE w:val="0"/>
        <w:autoSpaceDN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投标方承诺能按要求实现本技术规范规定的所有条款及功能要求，配合完成相关政府部门的信息安全等级保护相关（登记、整改等）工作要求。</w:t>
      </w:r>
    </w:p>
    <w:p>
      <w:pPr>
        <w:autoSpaceDE w:val="0"/>
        <w:autoSpaceDN w:val="0"/>
        <w:adjustRightInd/>
        <w:spacing w:line="360" w:lineRule="auto"/>
        <w:ind w:firstLine="480" w:firstLineChars="200"/>
        <w:textAlignment w:val="auto"/>
        <w:rPr>
          <w:rFonts w:hint="eastAsia" w:ascii="仿宋" w:hAnsi="仿宋" w:eastAsia="仿宋" w:cs="仿宋"/>
          <w:color w:val="auto"/>
          <w:sz w:val="24"/>
        </w:rPr>
      </w:pPr>
    </w:p>
    <w:p>
      <w:pPr>
        <w:pStyle w:val="7"/>
        <w:spacing w:before="1"/>
        <w:rPr>
          <w:rFonts w:hint="eastAsia" w:ascii="仿宋" w:hAnsi="仿宋" w:eastAsia="仿宋" w:cs="仿宋"/>
          <w:color w:val="auto"/>
        </w:rPr>
      </w:pPr>
      <w:r>
        <w:rPr>
          <w:rFonts w:hint="eastAsia" w:ascii="仿宋" w:hAnsi="仿宋" w:eastAsia="仿宋" w:cs="仿宋"/>
          <w:color w:val="auto"/>
        </w:rPr>
        <w:t>第二部分 项目实施内容与要求</w:t>
      </w:r>
    </w:p>
    <w:p>
      <w:pPr>
        <w:pStyle w:val="2"/>
        <w:autoSpaceDE w:val="0"/>
        <w:autoSpaceDN w:val="0"/>
        <w:spacing w:before="6" w:line="360" w:lineRule="auto"/>
        <w:rPr>
          <w:b/>
          <w:color w:val="auto"/>
          <w:sz w:val="35"/>
        </w:rPr>
      </w:pPr>
    </w:p>
    <w:p>
      <w:pPr>
        <w:pStyle w:val="8"/>
        <w:numPr>
          <w:ilvl w:val="1"/>
          <w:numId w:val="10"/>
        </w:numPr>
        <w:tabs>
          <w:tab w:val="left" w:pos="634"/>
        </w:tabs>
        <w:autoSpaceDE w:val="0"/>
        <w:autoSpaceDN w:val="0"/>
        <w:adjustRightInd/>
        <w:spacing w:line="360" w:lineRule="auto"/>
        <w:textAlignment w:val="auto"/>
        <w:rPr>
          <w:rFonts w:hint="eastAsia" w:ascii="仿宋" w:hAnsi="仿宋" w:eastAsia="仿宋" w:cs="仿宋"/>
          <w:b/>
          <w:color w:val="auto"/>
          <w:sz w:val="24"/>
        </w:rPr>
      </w:pPr>
      <w:r>
        <w:rPr>
          <w:rFonts w:hint="eastAsia" w:ascii="仿宋" w:hAnsi="仿宋" w:eastAsia="仿宋" w:cs="仿宋"/>
          <w:b/>
          <w:color w:val="auto"/>
          <w:sz w:val="24"/>
        </w:rPr>
        <w:t>1、项目定级备案</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投标方应梳理现有的信息系统，严格按照《GBT 22240—2008 信息安全技术 信息系统安全保护等级定级指南》的要求，对信息系统的级别进行划定。完成信息系统定级报告及定级材料的准备、整理，完成信息系统去公安机关的备案工作。</w:t>
      </w:r>
    </w:p>
    <w:p>
      <w:pPr>
        <w:pStyle w:val="8"/>
        <w:tabs>
          <w:tab w:val="left" w:pos="634"/>
        </w:tabs>
        <w:autoSpaceDE w:val="0"/>
        <w:autoSpaceDN w:val="0"/>
        <w:adjustRightInd/>
        <w:spacing w:line="360" w:lineRule="auto"/>
        <w:ind w:left="569" w:firstLine="0"/>
        <w:textAlignment w:val="auto"/>
        <w:rPr>
          <w:rFonts w:hint="eastAsia" w:ascii="仿宋" w:hAnsi="仿宋" w:eastAsia="仿宋" w:cs="仿宋"/>
          <w:b/>
          <w:color w:val="auto"/>
          <w:sz w:val="24"/>
        </w:rPr>
      </w:pPr>
      <w:r>
        <w:rPr>
          <w:rFonts w:hint="eastAsia" w:ascii="仿宋" w:hAnsi="仿宋" w:eastAsia="仿宋" w:cs="仿宋"/>
          <w:b/>
          <w:color w:val="auto"/>
          <w:sz w:val="24"/>
        </w:rPr>
        <w:t>2、项目测评内容</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根据国家等级保护相关标准《GBT22239-2019 网络安全等级保护基本要求》，对重要信息系统等级保护测评项目应包括以下内容：</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安全技术测评：包括安全物理环境、安全通信网络、安全区域边界、安全计算环境、安全管理中心等五个方面的安全测评；</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安全管理测评：包括安全管理制度、安全管理机构、安全管理人员、安全建设管理、安全运维管理等五个方面的安全测评。</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服务内容：</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协助开展系统和重要信息系统的自查自评估工作，对存在的风险隐患和安全问题及时提供有针对性的安全整改建议，保障整改措施的落实，完成重要信息系统的定级、备案等相关工作；</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依据《信息系统安全等级保护基本要求》，从安全技术和管理两个方面共十个层面对信息系统进行等级测评，出具等级测评报告；</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针对信息系统等保测评实施过程中发现的安全隐患和薄弱环节，提供安全建设整改和安全加固方面的咨询。</w:t>
      </w:r>
    </w:p>
    <w:p>
      <w:pPr>
        <w:autoSpaceDE w:val="0"/>
        <w:autoSpaceDN w:val="0"/>
        <w:adjustRightInd/>
        <w:spacing w:line="360" w:lineRule="auto"/>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提供安全服务，及时、有效、正确的预防和阻止各种黑客攻击。职责清晰，能快速及时的帮助客户处理网络安全事件。</w:t>
      </w:r>
    </w:p>
    <w:tbl>
      <w:tblPr>
        <w:tblStyle w:val="6"/>
        <w:tblW w:w="9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2410"/>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759" w:type="dxa"/>
            <w:vAlign w:val="center"/>
          </w:tcPr>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w:t>
            </w:r>
          </w:p>
        </w:tc>
        <w:tc>
          <w:tcPr>
            <w:tcW w:w="2410" w:type="dxa"/>
            <w:vAlign w:val="center"/>
          </w:tcPr>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服务内容</w:t>
            </w:r>
          </w:p>
        </w:tc>
        <w:tc>
          <w:tcPr>
            <w:tcW w:w="5004" w:type="dxa"/>
            <w:vAlign w:val="center"/>
          </w:tcPr>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759" w:type="dxa"/>
            <w:vMerge w:val="restart"/>
            <w:vAlign w:val="center"/>
          </w:tcPr>
          <w:p>
            <w:pPr>
              <w:autoSpaceDE w:val="0"/>
              <w:autoSpaceDN w:val="0"/>
              <w:adjustRightInd/>
              <w:spacing w:line="360" w:lineRule="auto"/>
              <w:ind w:firstLine="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等级测评</w:t>
            </w: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项目准备及现场调研</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协助对信息系统物理环境、网络、终端、数据、安全管理等进行调研。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759" w:type="dxa"/>
            <w:vMerge w:val="continue"/>
            <w:vAlign w:val="top"/>
          </w:tcPr>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信息系统定级、备案</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疏理信息系统定级工作，完成信息系统定级报告及定级材料的准备；</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整理、补充信息系统备案所有相关的文档，完成相应信息系统等级保护备案工作。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759" w:type="dxa"/>
            <w:vMerge w:val="continue"/>
            <w:vAlign w:val="top"/>
          </w:tcPr>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信息系统差距分析</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对定级的信息系统，依照《信息系统安全等级保护基本要求》进行逐个对照，分析信息系统安全情况与等级保护基本要求的差距，完成信息系统等级保护差距分析报告。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59" w:type="dxa"/>
            <w:vMerge w:val="continue"/>
            <w:vAlign w:val="top"/>
          </w:tcPr>
          <w:p>
            <w:pPr>
              <w:widowControl/>
              <w:spacing w:line="360" w:lineRule="auto"/>
              <w:jc w:val="left"/>
              <w:rPr>
                <w:color w:val="auto"/>
                <w:sz w:val="24"/>
              </w:rPr>
            </w:pP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等级保护安全整改</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落实相关的等级保护建设整改工作，等级保护整改实施具体内容包括安全管理制度修订、安全技术整改、形成安全配置基线、辅助指导安全增强配置和调试指导工作、实施等保相关培训、安全风险管理工作落实等工作内容，提升信息系统的安全防护能力，确保信息系统满足国家等级保护相应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jc w:val="center"/>
        </w:trPr>
        <w:tc>
          <w:tcPr>
            <w:tcW w:w="1759" w:type="dxa"/>
            <w:vMerge w:val="continue"/>
            <w:vAlign w:val="center"/>
          </w:tcPr>
          <w:p>
            <w:pPr>
              <w:widowControl/>
              <w:spacing w:line="360" w:lineRule="auto"/>
              <w:jc w:val="left"/>
              <w:rPr>
                <w:color w:val="auto"/>
                <w:sz w:val="24"/>
              </w:rPr>
            </w:pP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等级保护测评</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参照《GBT22239-2019 网络安全等级保护基本要求》和《GB/T28448-2019 网络安全等级保护测评要求》等标准规范要求，对信息系统开展信息系统等级保护测评工作。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759" w:type="dxa"/>
            <w:vMerge w:val="continue"/>
            <w:vAlign w:val="center"/>
          </w:tcPr>
          <w:p>
            <w:pPr>
              <w:widowControl/>
              <w:spacing w:line="360" w:lineRule="auto"/>
              <w:jc w:val="left"/>
              <w:rPr>
                <w:color w:val="auto"/>
                <w:sz w:val="24"/>
              </w:rPr>
            </w:pPr>
          </w:p>
        </w:tc>
        <w:tc>
          <w:tcPr>
            <w:tcW w:w="2410"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成果</w:t>
            </w:r>
          </w:p>
        </w:tc>
        <w:tc>
          <w:tcPr>
            <w:tcW w:w="5004" w:type="dxa"/>
            <w:vAlign w:val="center"/>
          </w:tcPr>
          <w:p>
            <w:pPr>
              <w:autoSpaceDE w:val="0"/>
              <w:autoSpaceDN w:val="0"/>
              <w:adjustRightInd/>
              <w:spacing w:line="360" w:lineRule="auto"/>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服务目标为通过公安部门的等级保护检查，出具《信息系统等级保护测评报告》 协助用户取得公安机关备案证明。</w:t>
            </w:r>
          </w:p>
        </w:tc>
      </w:tr>
    </w:tbl>
    <w:p>
      <w:pPr>
        <w:pStyle w:val="8"/>
        <w:numPr>
          <w:ilvl w:val="1"/>
          <w:numId w:val="10"/>
        </w:numPr>
        <w:tabs>
          <w:tab w:val="left" w:pos="634"/>
        </w:tabs>
        <w:autoSpaceDE w:val="0"/>
        <w:autoSpaceDN w:val="0"/>
        <w:adjustRightInd/>
        <w:spacing w:line="360" w:lineRule="auto"/>
        <w:ind w:left="147"/>
        <w:textAlignment w:val="auto"/>
        <w:rPr>
          <w:b/>
          <w:bCs/>
          <w:color w:val="auto"/>
          <w:sz w:val="24"/>
          <w:szCs w:val="24"/>
        </w:rPr>
      </w:pPr>
    </w:p>
    <w:p>
      <w:pPr>
        <w:pStyle w:val="8"/>
        <w:numPr>
          <w:ilvl w:val="1"/>
          <w:numId w:val="10"/>
        </w:numPr>
        <w:tabs>
          <w:tab w:val="left" w:pos="634"/>
        </w:tabs>
        <w:autoSpaceDE w:val="0"/>
        <w:autoSpaceDN w:val="0"/>
        <w:adjustRightInd/>
        <w:spacing w:line="360" w:lineRule="auto"/>
        <w:ind w:left="147"/>
        <w:textAlignment w:val="auto"/>
        <w:rPr>
          <w:rFonts w:hint="eastAsia" w:ascii="仿宋" w:hAnsi="仿宋" w:eastAsia="仿宋" w:cs="仿宋"/>
          <w:b/>
          <w:bCs/>
          <w:color w:val="auto"/>
          <w:sz w:val="24"/>
          <w:szCs w:val="24"/>
        </w:rPr>
      </w:pPr>
      <w:r>
        <w:rPr>
          <w:rFonts w:hint="eastAsia" w:ascii="仿宋" w:hAnsi="仿宋" w:eastAsia="仿宋" w:cs="仿宋"/>
          <w:b/>
          <w:color w:val="auto"/>
          <w:sz w:val="24"/>
        </w:rPr>
        <w:t>3、测评要求</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（1）安全物理环境物理安全测评是对信息系统的机房和办公场所的物理位置选择、物理访问控制、防盗窃和防破坏、防雷击、防火、防水和防潮、防静电、温湿度控制、电力供应、电磁防护等方面的安全状况。</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（2）安全通信网络</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网络安全测评是对信息系统的网络系统安全防护情况进行测评，包括网络结构安全、网络访问控制、网络安全审计、网络边界完整性测评、网络入侵防范、网络恶意代码防范、网络设备防护等方面的安全状况。</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安全区域边界</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安全区域边界是对信息系统的边界防护、访问控制、入侵防范、恶意代码和垃圾邮件防范、安全审计、可信验证等方面的安全状况。</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（4）安全计算环境</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安全计算环境是对信息系统的身份鉴别、访问控制、安全审计、入侵防范、恶意代码防范、可信验证、数据完整性、数据保密性、数据备份恢复、剩余信息保护、个人信息保护等方面的安全状况。</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（5）安全管理中心</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安全管理中心是对信息系统的系统管理、审计管理、安全管理、集中管控进行测评。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（6）安全管理制度</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安全管理制度测评是对信息系统的安全策略、管理制度、制定和发布、评审和修订等情况进行测评。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（7）安全管理机构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安全管理机构测评是对信息系统的岗位设置、人员配备、授权与审批、沟通和合作、审核和检查等情况进行测评。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（8）安全管理人员</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人员安全管理测评是对信息系统相关内部人员的人员录用、人员离岗安全意识教育和培训、外部人员访问管理等情况进行测评。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（9）安全建设管理</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系统建设管理测评是对信息系统建设过程中的、测试验收、系统交付、等级测评服务供应商管理等情况进行测评。</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（10）安全运维管理</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系统运维管理测评是对信息系统运行维护过程中的环境管理、资产管理、介质管理、设备维护管理、漏洞和风险管理、网络和系统安全管理、恶意代码防范管理、配置管理、密码管理、变更管理、备份与恢复管理、安全事件处置、应急预案管理、外包运维管理等情况进行测评。</w:t>
      </w:r>
    </w:p>
    <w:p>
      <w:pPr>
        <w:pStyle w:val="8"/>
        <w:numPr>
          <w:ilvl w:val="1"/>
          <w:numId w:val="10"/>
        </w:numPr>
        <w:tabs>
          <w:tab w:val="left" w:pos="634"/>
        </w:tabs>
        <w:autoSpaceDE w:val="0"/>
        <w:autoSpaceDN w:val="0"/>
        <w:adjustRightInd/>
        <w:spacing w:line="360" w:lineRule="auto"/>
        <w:textAlignment w:val="auto"/>
        <w:rPr>
          <w:rFonts w:hint="eastAsia" w:ascii="仿宋" w:hAnsi="仿宋" w:eastAsia="仿宋" w:cs="仿宋"/>
          <w:color w:val="auto"/>
          <w:sz w:val="24"/>
          <w:szCs w:val="24"/>
        </w:rPr>
      </w:pPr>
      <w:r>
        <w:rPr>
          <w:rFonts w:hint="eastAsia" w:ascii="仿宋" w:hAnsi="仿宋" w:eastAsia="仿宋" w:cs="仿宋"/>
          <w:b/>
          <w:color w:val="auto"/>
          <w:sz w:val="24"/>
        </w:rPr>
        <w:t>4、</w:t>
      </w:r>
      <w:r>
        <w:rPr>
          <w:rFonts w:hint="eastAsia" w:ascii="仿宋" w:hAnsi="仿宋" w:eastAsia="仿宋" w:cs="仿宋"/>
          <w:b/>
          <w:color w:val="auto"/>
          <w:sz w:val="24"/>
          <w:szCs w:val="24"/>
        </w:rPr>
        <w:t>测评风险规避要求</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项目开展工作涉及到单位重要信息系统和数据，在测评过程中必须加强安全保密管理与风险控制。</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指定项目经理为专人负责信息安全测评过程中的安全保密管理工作，对测评活动、测评人员以及相关文档和数据进行安全保密管理，对重点设备的技术检测进行监督，对接入的检测设备进行控制。项目经需理具备中级及以上测评资质或信息安全管理体系ISO27001主任审核员资质，具备丰富的等级保护测评经验。</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安全测评工作中可能出现的安全风险点，按照检测对象周密制定测评方法，根据被测评对象的不同采取相应的风险控制手段。不限于以下方法：</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（1）操作的申请和监护</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在实施过程中必须遵守的相关操作章程，以防止敏感信息泄漏和确保及时处理意外事件。</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（2）操作时间控制</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对测评直接影响系统工作时，尽可能避开敏感时期。</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（3）人员与数据管理</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必须高度重视信息保密工作，加强资料管理，确保人员可靠、稳定和可控。测评与被测评单位之间应签署长期保密协议，测评人员与被测评单位之间也要有相应的约束和控制措施，按国家有关要求做好保密工作。</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（4）制定应急预案</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根据测评范围界定的系统情况，在实施前制定应急预案。</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（5）关键业务系统风险控制</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对影响较大的重要关键业务系统在无法搭建模拟环境情况下，原则上不采用测评工具，采用访谈、测评和简单测试的方式进行。</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（6）优化扫描策略</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分类扫描:对不同的主机和设备类型执行不同的扫描会话，从而减少不必要的脆弱项目测试。针对扫描对象细化扫描策略：对不同类型的主机或设备，需要根据其上不同的应用和服务情况，有针对性地定制扫描策略选项。</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（7）数据备份与恢复</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对业务系统和数据库主机，应对其上数据进行备份，防止测评过程中对设备与主机的损伤影响业务系统的正常运行。</w:t>
      </w:r>
    </w:p>
    <w:p>
      <w:pPr>
        <w:numPr>
          <w:ilvl w:val="1"/>
          <w:numId w:val="10"/>
        </w:numPr>
        <w:autoSpaceDE w:val="0"/>
        <w:autoSpaceDN w:val="0"/>
        <w:adjustRightInd/>
        <w:spacing w:line="360" w:lineRule="auto"/>
        <w:textAlignment w:val="auto"/>
        <w:rPr>
          <w:rFonts w:hint="eastAsia" w:ascii="仿宋" w:hAnsi="仿宋" w:eastAsia="仿宋" w:cs="仿宋"/>
          <w:color w:val="auto"/>
          <w:sz w:val="20"/>
        </w:rPr>
      </w:pPr>
      <w:r>
        <w:rPr>
          <w:rFonts w:hint="eastAsia" w:ascii="仿宋" w:hAnsi="仿宋" w:eastAsia="仿宋" w:cs="仿宋"/>
          <w:b/>
          <w:bCs/>
          <w:color w:val="auto"/>
          <w:sz w:val="24"/>
          <w:szCs w:val="24"/>
        </w:rPr>
        <w:t>5、整改实施内容</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方严格按照差距分析报告内容，落实相关的等级保护建设整改指导工作，等级保护整改实施具体内容包括安全管理制度修订、安全技术整改、形成安全配置基线、进行安全增强配置和调试指导工作等工作内容，提升信息系统的安全防护能力，确保信息系统满足国家等级保护相应等级要求。</w:t>
      </w:r>
    </w:p>
    <w:p>
      <w:pPr>
        <w:numPr>
          <w:ilvl w:val="1"/>
          <w:numId w:val="10"/>
        </w:numPr>
        <w:autoSpaceDE w:val="0"/>
        <w:autoSpaceDN w:val="0"/>
        <w:adjustRightIn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6、汇总项目材料并验收</w:t>
      </w:r>
    </w:p>
    <w:p>
      <w:pPr>
        <w:autoSpaceDE w:val="0"/>
        <w:autoSpaceDN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投标方对整改后的内容进行最终确认，并汇总信息系统等级保护测评报告，完成公安机关的材料报备，取得信息系统备案证明。</w:t>
      </w:r>
    </w:p>
    <w:p>
      <w:pPr>
        <w:autoSpaceDE w:val="0"/>
        <w:autoSpaceDN w:val="0"/>
        <w:adjustRightInd/>
        <w:spacing w:line="360" w:lineRule="auto"/>
        <w:ind w:firstLine="480" w:firstLineChars="200"/>
        <w:textAlignment w:val="auto"/>
        <w:rPr>
          <w:color w:val="auto"/>
        </w:rPr>
      </w:pPr>
      <w:r>
        <w:rPr>
          <w:rFonts w:hint="eastAsia" w:ascii="仿宋" w:hAnsi="仿宋" w:eastAsia="仿宋" w:cs="仿宋"/>
          <w:color w:val="auto"/>
          <w:sz w:val="24"/>
          <w:szCs w:val="24"/>
        </w:rPr>
        <w:t>投标方汇总等级保护测评阶段性文档（不限于定级备案材料、差距分析报告、整改实施方案、测评报告、备案证明等），保证通过评审及验收。</w:t>
      </w:r>
    </w:p>
    <w:p>
      <w:pPr>
        <w:numPr>
          <w:ilvl w:val="1"/>
          <w:numId w:val="10"/>
        </w:numPr>
        <w:autoSpaceDE w:val="0"/>
        <w:autoSpaceDN w:val="0"/>
        <w:adjustRightIn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7、其他要求</w:t>
      </w:r>
    </w:p>
    <w:p>
      <w:pPr>
        <w:pStyle w:val="8"/>
        <w:numPr>
          <w:ilvl w:val="1"/>
          <w:numId w:val="10"/>
        </w:numPr>
        <w:tabs>
          <w:tab w:val="left" w:pos="634"/>
        </w:tabs>
        <w:autoSpaceDE w:val="0"/>
        <w:autoSpaceDN w:val="0"/>
        <w:adjustRightIn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服务期：40日内完成项目测评。建设整改周期不包含在内。</w:t>
      </w:r>
    </w:p>
    <w:p>
      <w:pPr>
        <w:pStyle w:val="2"/>
        <w:tabs>
          <w:tab w:val="left" w:pos="142"/>
        </w:tabs>
        <w:ind w:left="141" w:leftChars="67"/>
        <w:outlineLvl w:val="0"/>
        <w:rPr>
          <w:rFonts w:hint="eastAsia" w:ascii="仿宋_GB2312" w:eastAsia="仿宋_GB2312"/>
          <w:b/>
          <w:color w:val="auto"/>
          <w:sz w:val="24"/>
          <w:szCs w:val="24"/>
        </w:rPr>
      </w:pPr>
      <w:r>
        <w:rPr>
          <w:rFonts w:hint="eastAsia" w:ascii="仿宋_GB2312" w:eastAsia="仿宋_GB2312"/>
          <w:b/>
          <w:color w:val="auto"/>
          <w:sz w:val="30"/>
          <w:szCs w:val="30"/>
        </w:rPr>
        <w:br w:type="page"/>
      </w:r>
      <w:r>
        <w:rPr>
          <w:rFonts w:hint="eastAsia" w:ascii="仿宋_GB2312" w:eastAsia="仿宋_GB2312"/>
          <w:b/>
          <w:color w:val="auto"/>
          <w:sz w:val="24"/>
          <w:szCs w:val="24"/>
        </w:rPr>
        <w:t>附件二：</w:t>
      </w:r>
    </w:p>
    <w:p>
      <w:pPr>
        <w:pStyle w:val="2"/>
        <w:tabs>
          <w:tab w:val="left" w:pos="0"/>
        </w:tabs>
        <w:jc w:val="center"/>
        <w:outlineLvl w:val="0"/>
        <w:rPr>
          <w:rFonts w:hint="eastAsia" w:ascii="仿宋_GB2312" w:eastAsia="仿宋_GB2312"/>
          <w:b/>
          <w:color w:val="auto"/>
          <w:sz w:val="24"/>
          <w:szCs w:val="24"/>
        </w:rPr>
      </w:pPr>
      <w:r>
        <w:rPr>
          <w:rFonts w:hint="eastAsia" w:ascii="仿宋_GB2312" w:eastAsia="仿宋_GB2312"/>
          <w:b/>
          <w:color w:val="auto"/>
          <w:sz w:val="24"/>
          <w:szCs w:val="24"/>
        </w:rPr>
        <w:t>报 价 函</w:t>
      </w:r>
    </w:p>
    <w:p>
      <w:pPr>
        <w:pStyle w:val="2"/>
        <w:tabs>
          <w:tab w:val="left" w:pos="0"/>
        </w:tabs>
        <w:spacing w:line="440" w:lineRule="exact"/>
        <w:ind w:firstLine="612" w:firstLineChars="255"/>
        <w:jc w:val="right"/>
        <w:rPr>
          <w:rFonts w:hint="eastAsia" w:ascii="仿宋_GB2312" w:eastAsia="仿宋_GB2312"/>
          <w:color w:val="auto"/>
          <w:sz w:val="24"/>
          <w:szCs w:val="24"/>
        </w:rPr>
      </w:pPr>
    </w:p>
    <w:p>
      <w:pPr>
        <w:pStyle w:val="2"/>
        <w:tabs>
          <w:tab w:val="left" w:pos="0"/>
        </w:tabs>
        <w:spacing w:line="440" w:lineRule="exact"/>
        <w:ind w:firstLine="612" w:firstLineChars="255"/>
        <w:rPr>
          <w:rFonts w:ascii="仿宋_GB2312" w:eastAsia="仿宋_GB2312"/>
          <w:color w:val="auto"/>
          <w:sz w:val="24"/>
          <w:szCs w:val="24"/>
        </w:rPr>
      </w:pPr>
      <w:r>
        <w:rPr>
          <w:rFonts w:hint="eastAsia" w:ascii="仿宋_GB2312" w:eastAsia="仿宋_GB2312"/>
          <w:color w:val="auto"/>
          <w:sz w:val="24"/>
          <w:szCs w:val="24"/>
        </w:rPr>
        <w:t>报价文件请各供应商自拟。</w:t>
      </w:r>
    </w:p>
    <w:p>
      <w:pPr>
        <w:pStyle w:val="2"/>
        <w:tabs>
          <w:tab w:val="left" w:pos="0"/>
        </w:tabs>
        <w:spacing w:line="440" w:lineRule="exact"/>
        <w:ind w:firstLine="612" w:firstLineChars="255"/>
        <w:jc w:val="right"/>
        <w:rPr>
          <w:rFonts w:hint="eastAsia" w:ascii="仿宋_GB2312" w:eastAsia="仿宋_GB2312"/>
          <w:color w:val="auto"/>
          <w:sz w:val="24"/>
          <w:szCs w:val="24"/>
        </w:rPr>
      </w:pPr>
    </w:p>
    <w:p>
      <w:pPr>
        <w:pStyle w:val="2"/>
        <w:tabs>
          <w:tab w:val="left" w:pos="0"/>
        </w:tabs>
        <w:spacing w:line="440" w:lineRule="exact"/>
        <w:ind w:firstLine="612" w:firstLineChars="255"/>
        <w:jc w:val="right"/>
        <w:rPr>
          <w:rFonts w:hint="eastAsia" w:ascii="仿宋_GB2312" w:eastAsia="仿宋_GB2312"/>
          <w:color w:val="auto"/>
          <w:sz w:val="24"/>
          <w:szCs w:val="24"/>
        </w:rPr>
      </w:pPr>
    </w:p>
    <w:p>
      <w:pPr>
        <w:pStyle w:val="2"/>
        <w:tabs>
          <w:tab w:val="left" w:pos="0"/>
        </w:tabs>
        <w:spacing w:line="440" w:lineRule="exact"/>
        <w:ind w:firstLine="612" w:firstLineChars="255"/>
        <w:jc w:val="right"/>
        <w:rPr>
          <w:rFonts w:ascii="仿宋_GB2312" w:eastAsia="仿宋_GB2312"/>
          <w:color w:val="auto"/>
          <w:sz w:val="24"/>
          <w:szCs w:val="24"/>
        </w:rPr>
      </w:pPr>
      <w:r>
        <w:rPr>
          <w:rFonts w:hint="eastAsia" w:ascii="仿宋_GB2312" w:eastAsia="仿宋_GB2312"/>
          <w:color w:val="auto"/>
          <w:sz w:val="24"/>
          <w:szCs w:val="24"/>
        </w:rPr>
        <w:t>日期：      年    月   日</w:t>
      </w:r>
    </w:p>
    <w:p>
      <w:pPr>
        <w:pStyle w:val="2"/>
        <w:tabs>
          <w:tab w:val="left" w:pos="0"/>
        </w:tabs>
        <w:jc w:val="center"/>
        <w:outlineLvl w:val="0"/>
        <w:rPr>
          <w:rFonts w:ascii="仿宋_GB2312" w:eastAsia="仿宋_GB2312"/>
          <w:b/>
          <w:color w:val="auto"/>
          <w:sz w:val="24"/>
          <w:szCs w:val="24"/>
        </w:rPr>
      </w:pPr>
      <w:r>
        <w:rPr>
          <w:rFonts w:ascii="仿宋_GB2312" w:eastAsia="仿宋_GB2312"/>
          <w:color w:val="auto"/>
          <w:sz w:val="24"/>
          <w:szCs w:val="24"/>
        </w:rPr>
        <w:br w:type="page"/>
      </w:r>
      <w:bookmarkStart w:id="0" w:name="_Toc366593264"/>
      <w:r>
        <w:rPr>
          <w:rFonts w:hint="eastAsia" w:ascii="仿宋_GB2312" w:eastAsia="仿宋_GB2312"/>
          <w:b/>
          <w:color w:val="auto"/>
          <w:sz w:val="24"/>
          <w:szCs w:val="24"/>
        </w:rPr>
        <w:t>法人代表授权书</w:t>
      </w:r>
      <w:bookmarkEnd w:id="0"/>
    </w:p>
    <w:p>
      <w:pPr>
        <w:widowControl/>
        <w:spacing w:line="480" w:lineRule="auto"/>
        <w:rPr>
          <w:rFonts w:hint="eastAsia" w:ascii="仿宋_GB2312" w:eastAsia="仿宋_GB2312"/>
          <w:color w:val="auto"/>
          <w:sz w:val="24"/>
          <w:szCs w:val="24"/>
        </w:rPr>
      </w:pPr>
      <w:r>
        <w:rPr>
          <w:rFonts w:hint="eastAsia" w:ascii="仿宋_GB2312" w:eastAsia="仿宋_GB2312"/>
          <w:color w:val="auto"/>
          <w:sz w:val="24"/>
          <w:szCs w:val="24"/>
        </w:rPr>
        <w:t>（采购人）：</w:t>
      </w:r>
    </w:p>
    <w:p>
      <w:pPr>
        <w:spacing w:line="48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兹授权</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同志为我公司参加贵单位组织的信息系统安全等级保护测评项目询价活动的授权代表人，全权代表我公司处理在该项目活动中的一切事宜。</w:t>
      </w:r>
    </w:p>
    <w:p>
      <w:pPr>
        <w:spacing w:line="48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代理期限</w:t>
      </w:r>
      <w:r>
        <w:rPr>
          <w:rFonts w:hint="eastAsia" w:ascii="仿宋_GB2312" w:eastAsia="仿宋_GB2312"/>
          <w:color w:val="auto"/>
          <w:sz w:val="24"/>
          <w:szCs w:val="24"/>
          <w:u w:val="single"/>
        </w:rPr>
        <w:t>从     年   月   日起至     年   月   日止</w:t>
      </w:r>
      <w:r>
        <w:rPr>
          <w:rFonts w:hint="eastAsia" w:ascii="仿宋_GB2312" w:eastAsia="仿宋_GB2312"/>
          <w:color w:val="auto"/>
          <w:sz w:val="24"/>
          <w:szCs w:val="24"/>
        </w:rPr>
        <w:t xml:space="preserve">。 </w:t>
      </w:r>
    </w:p>
    <w:p>
      <w:pPr>
        <w:spacing w:line="480" w:lineRule="auto"/>
        <w:rPr>
          <w:rFonts w:hint="eastAsia" w:ascii="仿宋_GB2312" w:eastAsia="仿宋_GB2312"/>
          <w:color w:val="auto"/>
          <w:sz w:val="24"/>
          <w:szCs w:val="24"/>
        </w:rPr>
      </w:pPr>
    </w:p>
    <w:p>
      <w:pPr>
        <w:pStyle w:val="3"/>
        <w:tabs>
          <w:tab w:val="left" w:pos="900"/>
        </w:tabs>
        <w:spacing w:line="480" w:lineRule="auto"/>
        <w:rPr>
          <w:rFonts w:hint="eastAsia" w:ascii="仿宋_GB2312" w:eastAsia="仿宋_GB2312"/>
          <w:color w:val="auto"/>
          <w:kern w:val="0"/>
          <w:sz w:val="24"/>
        </w:rPr>
      </w:pPr>
      <w:r>
        <w:rPr>
          <w:rFonts w:hint="eastAsia" w:ascii="仿宋_GB2312" w:eastAsia="仿宋_GB2312"/>
          <w:color w:val="auto"/>
          <w:kern w:val="0"/>
          <w:sz w:val="24"/>
        </w:rPr>
        <w:t xml:space="preserve">供应商：    （加盖公章）             </w:t>
      </w:r>
    </w:p>
    <w:p>
      <w:pPr>
        <w:spacing w:line="480" w:lineRule="auto"/>
        <w:rPr>
          <w:rFonts w:hint="eastAsia" w:ascii="仿宋_GB2312" w:eastAsia="仿宋_GB2312"/>
          <w:color w:val="auto"/>
          <w:sz w:val="24"/>
          <w:szCs w:val="24"/>
        </w:rPr>
      </w:pPr>
      <w:r>
        <w:rPr>
          <w:rFonts w:hint="eastAsia" w:ascii="仿宋_GB2312" w:eastAsia="仿宋_GB2312"/>
          <w:color w:val="auto"/>
          <w:sz w:val="24"/>
          <w:szCs w:val="24"/>
        </w:rPr>
        <w:t xml:space="preserve">法定代表人：    （签字）             </w:t>
      </w:r>
    </w:p>
    <w:p>
      <w:pPr>
        <w:spacing w:line="480" w:lineRule="auto"/>
        <w:rPr>
          <w:rFonts w:hint="eastAsia" w:ascii="仿宋_GB2312" w:eastAsia="仿宋_GB2312"/>
          <w:color w:val="auto"/>
          <w:sz w:val="24"/>
          <w:szCs w:val="24"/>
        </w:rPr>
      </w:pPr>
      <w:r>
        <w:rPr>
          <w:rFonts w:hint="eastAsia" w:ascii="仿宋_GB2312" w:eastAsia="仿宋_GB2312"/>
          <w:color w:val="auto"/>
          <w:sz w:val="24"/>
          <w:szCs w:val="24"/>
        </w:rPr>
        <w:t>签发日期：      年    月     日</w:t>
      </w:r>
    </w:p>
    <w:p>
      <w:pPr>
        <w:spacing w:line="480" w:lineRule="auto"/>
        <w:rPr>
          <w:rFonts w:hint="eastAsia" w:ascii="仿宋_GB2312" w:eastAsia="仿宋_GB2312"/>
          <w:color w:val="auto"/>
          <w:sz w:val="24"/>
          <w:szCs w:val="24"/>
        </w:rPr>
      </w:pPr>
    </w:p>
    <w:p>
      <w:pPr>
        <w:spacing w:line="48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 xml:space="preserve">附：代理人工作单位：                        </w:t>
      </w:r>
    </w:p>
    <w:p>
      <w:pPr>
        <w:spacing w:line="480" w:lineRule="auto"/>
        <w:ind w:firstLine="960" w:firstLineChars="400"/>
        <w:rPr>
          <w:rFonts w:hint="eastAsia" w:ascii="仿宋_GB2312" w:eastAsia="仿宋_GB2312"/>
          <w:color w:val="auto"/>
          <w:sz w:val="24"/>
          <w:szCs w:val="24"/>
        </w:rPr>
      </w:pPr>
      <w:r>
        <w:rPr>
          <w:rFonts w:hint="eastAsia" w:ascii="仿宋_GB2312" w:eastAsia="仿宋_GB2312"/>
          <w:color w:val="auto"/>
          <w:sz w:val="24"/>
          <w:szCs w:val="24"/>
        </w:rPr>
        <w:t xml:space="preserve">职务：                    性别：        </w:t>
      </w:r>
    </w:p>
    <w:p>
      <w:pPr>
        <w:spacing w:line="480" w:lineRule="auto"/>
        <w:ind w:firstLine="960" w:firstLineChars="400"/>
        <w:rPr>
          <w:rFonts w:hint="eastAsia" w:ascii="仿宋_GB2312" w:eastAsia="仿宋_GB2312"/>
          <w:color w:val="auto"/>
          <w:sz w:val="24"/>
          <w:szCs w:val="24"/>
        </w:rPr>
      </w:pPr>
      <w:r>
        <w:rPr>
          <w:rFonts w:hint="eastAsia" w:ascii="仿宋_GB2312" w:eastAsia="仿宋_GB2312"/>
          <w:color w:val="auto"/>
          <w:sz w:val="24"/>
          <w:szCs w:val="24"/>
        </w:rPr>
        <w:t xml:space="preserve">身份证号码：                            </w:t>
      </w:r>
    </w:p>
    <w:tbl>
      <w:tblPr>
        <w:tblStyle w:val="6"/>
        <w:tblW w:w="79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7999" w:type="dxa"/>
            <w:vAlign w:val="top"/>
          </w:tcPr>
          <w:p>
            <w:pPr>
              <w:spacing w:line="300" w:lineRule="auto"/>
              <w:rPr>
                <w:rFonts w:hint="eastAsia" w:ascii="仿宋_GB2312" w:eastAsia="仿宋_GB2312"/>
                <w:color w:val="auto"/>
                <w:sz w:val="24"/>
                <w:szCs w:val="24"/>
              </w:rPr>
            </w:pPr>
            <w:r>
              <w:rPr>
                <w:rFonts w:hint="eastAsia" w:ascii="仿宋_GB2312" w:eastAsia="仿宋_GB2312"/>
                <w:color w:val="auto"/>
                <w:sz w:val="24"/>
                <w:szCs w:val="24"/>
              </w:rPr>
              <w:t>被授权人身份证复印件</w:t>
            </w:r>
          </w:p>
        </w:tc>
      </w:tr>
    </w:tbl>
    <w:p>
      <w:pPr>
        <w:pStyle w:val="2"/>
        <w:tabs>
          <w:tab w:val="left" w:pos="0"/>
        </w:tabs>
        <w:jc w:val="center"/>
        <w:outlineLvl w:val="0"/>
        <w:rPr>
          <w:rFonts w:ascii="仿宋_GB2312" w:eastAsia="仿宋_GB2312"/>
          <w:b/>
          <w:color w:val="auto"/>
          <w:sz w:val="24"/>
          <w:szCs w:val="24"/>
        </w:rPr>
      </w:pPr>
      <w:r>
        <w:rPr>
          <w:rFonts w:ascii="仿宋_GB2312" w:eastAsia="仿宋_GB2312"/>
          <w:color w:val="auto"/>
          <w:sz w:val="24"/>
          <w:szCs w:val="24"/>
        </w:rPr>
        <w:br w:type="page"/>
      </w:r>
      <w:r>
        <w:rPr>
          <w:rFonts w:ascii="仿宋_GB2312" w:eastAsia="仿宋_GB2312"/>
          <w:b/>
          <w:color w:val="auto"/>
          <w:sz w:val="24"/>
          <w:szCs w:val="24"/>
        </w:rPr>
        <w:t>其他证明文件、资料等</w:t>
      </w:r>
    </w:p>
    <w:p>
      <w:pPr>
        <w:widowControl/>
        <w:snapToGrid w:val="0"/>
        <w:spacing w:line="480" w:lineRule="auto"/>
        <w:ind w:left="544" w:firstLine="0"/>
        <w:rPr>
          <w:rFonts w:hint="eastAsia" w:ascii="仿宋_GB2312" w:eastAsia="仿宋_GB2312"/>
          <w:color w:val="auto"/>
          <w:sz w:val="24"/>
          <w:szCs w:val="24"/>
        </w:rPr>
      </w:pPr>
    </w:p>
    <w:p>
      <w:pPr>
        <w:widowControl/>
        <w:snapToGrid w:val="0"/>
        <w:spacing w:line="480" w:lineRule="auto"/>
        <w:ind w:left="544" w:firstLine="0"/>
        <w:rPr>
          <w:rFonts w:hint="eastAsia" w:ascii="仿宋_GB2312" w:eastAsia="仿宋_GB2312"/>
          <w:color w:val="auto"/>
          <w:sz w:val="24"/>
          <w:szCs w:val="24"/>
        </w:rPr>
      </w:pPr>
      <w:r>
        <w:rPr>
          <w:rFonts w:hint="eastAsia" w:ascii="仿宋_GB2312" w:eastAsia="仿宋_GB2312"/>
          <w:color w:val="auto"/>
          <w:sz w:val="24"/>
          <w:szCs w:val="24"/>
        </w:rPr>
        <w:t>1、公司营业执照</w:t>
      </w:r>
    </w:p>
    <w:p>
      <w:pPr>
        <w:widowControl/>
        <w:snapToGrid w:val="0"/>
        <w:spacing w:line="480" w:lineRule="auto"/>
        <w:ind w:left="544" w:firstLine="0"/>
        <w:rPr>
          <w:rFonts w:hint="eastAsia" w:ascii="仿宋_GB2312" w:eastAsia="仿宋_GB2312"/>
          <w:color w:val="auto"/>
          <w:sz w:val="24"/>
          <w:szCs w:val="24"/>
        </w:rPr>
      </w:pPr>
      <w:r>
        <w:rPr>
          <w:rFonts w:hint="eastAsia" w:ascii="仿宋_GB2312" w:eastAsia="仿宋_GB2312"/>
          <w:color w:val="auto"/>
          <w:sz w:val="24"/>
          <w:szCs w:val="24"/>
        </w:rPr>
        <w:t>2、相关资质证书</w:t>
      </w:r>
    </w:p>
    <w:p>
      <w:pPr>
        <w:widowControl/>
        <w:snapToGrid w:val="0"/>
        <w:spacing w:line="480" w:lineRule="auto"/>
        <w:ind w:left="544" w:firstLine="0"/>
        <w:rPr>
          <w:rFonts w:hint="eastAsia" w:ascii="仿宋_GB2312" w:eastAsia="仿宋_GB2312"/>
          <w:color w:val="auto"/>
          <w:sz w:val="24"/>
          <w:szCs w:val="24"/>
        </w:rPr>
      </w:pPr>
      <w:r>
        <w:rPr>
          <w:rFonts w:hint="eastAsia" w:ascii="仿宋_GB2312" w:eastAsia="仿宋_GB2312"/>
          <w:color w:val="auto"/>
          <w:sz w:val="24"/>
          <w:szCs w:val="24"/>
        </w:rPr>
        <w:t>以上文件均为复印件并加盖公章</w:t>
      </w:r>
    </w:p>
    <w:p/>
    <w:sectPr>
      <w:footerReference r:id="rId3" w:type="default"/>
      <w:pgSz w:w="11906" w:h="16838"/>
      <w:pgMar w:top="1270" w:right="2007" w:bottom="1270" w:left="180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19F11"/>
    <w:multiLevelType w:val="singleLevel"/>
    <w:tmpl w:val="91819F11"/>
    <w:lvl w:ilvl="0" w:tentative="0">
      <w:start w:val="1"/>
      <w:numFmt w:val="decimal"/>
      <w:lvlText w:val="(%1)"/>
      <w:lvlJc w:val="left"/>
      <w:pPr>
        <w:ind w:left="425" w:hanging="425"/>
      </w:pPr>
      <w:rPr>
        <w:rFonts w:hint="default"/>
      </w:rPr>
    </w:lvl>
  </w:abstractNum>
  <w:abstractNum w:abstractNumId="1">
    <w:nsid w:val="AD442219"/>
    <w:multiLevelType w:val="singleLevel"/>
    <w:tmpl w:val="AD442219"/>
    <w:lvl w:ilvl="0" w:tentative="0">
      <w:start w:val="1"/>
      <w:numFmt w:val="decimal"/>
      <w:lvlText w:val="(%1)"/>
      <w:lvlJc w:val="left"/>
      <w:pPr>
        <w:ind w:left="425" w:hanging="425"/>
      </w:pPr>
      <w:rPr>
        <w:rFonts w:hint="default"/>
      </w:rPr>
    </w:lvl>
  </w:abstractNum>
  <w:abstractNum w:abstractNumId="2">
    <w:nsid w:val="D7AE6599"/>
    <w:multiLevelType w:val="singleLevel"/>
    <w:tmpl w:val="D7AE6599"/>
    <w:lvl w:ilvl="0" w:tentative="0">
      <w:start w:val="1"/>
      <w:numFmt w:val="decimal"/>
      <w:lvlText w:val="(%1)"/>
      <w:lvlJc w:val="left"/>
      <w:pPr>
        <w:ind w:left="425" w:hanging="425"/>
      </w:pPr>
      <w:rPr>
        <w:rFonts w:hint="default"/>
      </w:rPr>
    </w:lvl>
  </w:abstractNum>
  <w:abstractNum w:abstractNumId="3">
    <w:nsid w:val="07BD1213"/>
    <w:multiLevelType w:val="multilevel"/>
    <w:tmpl w:val="07BD1213"/>
    <w:lvl w:ilvl="0" w:tentative="0">
      <w:start w:val="1"/>
      <w:numFmt w:val="decimal"/>
      <w:lvlText w:val="%1"/>
      <w:lvlJc w:val="left"/>
      <w:pPr>
        <w:ind w:left="574" w:hanging="425"/>
      </w:pPr>
      <w:rPr>
        <w:rFonts w:hint="default"/>
      </w:rPr>
    </w:lvl>
    <w:lvl w:ilvl="1" w:tentative="0">
      <w:start w:val="0"/>
      <w:numFmt w:val="none"/>
      <w:lvlText w:val=""/>
      <w:lvlJc w:val="left"/>
      <w:pPr>
        <w:tabs>
          <w:tab w:val="left" w:pos="360"/>
        </w:tabs>
      </w:pPr>
    </w:lvl>
    <w:lvl w:ilvl="2" w:tentative="0">
      <w:start w:val="1"/>
      <w:numFmt w:val="decimal"/>
      <w:lvlText w:val="%3)"/>
      <w:lvlJc w:val="left"/>
      <w:pPr>
        <w:ind w:left="989" w:hanging="420"/>
      </w:pPr>
      <w:rPr>
        <w:rFonts w:hint="default" w:ascii="Times New Roman" w:hAnsi="Times New Roman" w:eastAsia="Times New Roman" w:cs="Times New Roman"/>
        <w:spacing w:val="-15"/>
        <w:w w:val="99"/>
        <w:sz w:val="24"/>
        <w:szCs w:val="24"/>
      </w:rPr>
    </w:lvl>
    <w:lvl w:ilvl="3" w:tentative="0">
      <w:start w:val="0"/>
      <w:numFmt w:val="bullet"/>
      <w:lvlText w:val="•"/>
      <w:lvlJc w:val="left"/>
      <w:pPr>
        <w:ind w:left="2785" w:hanging="420"/>
      </w:pPr>
      <w:rPr>
        <w:rFonts w:hint="default"/>
      </w:rPr>
    </w:lvl>
    <w:lvl w:ilvl="4" w:tentative="0">
      <w:start w:val="0"/>
      <w:numFmt w:val="bullet"/>
      <w:lvlText w:val="•"/>
      <w:lvlJc w:val="left"/>
      <w:pPr>
        <w:ind w:left="3688" w:hanging="420"/>
      </w:pPr>
      <w:rPr>
        <w:rFonts w:hint="default"/>
      </w:rPr>
    </w:lvl>
    <w:lvl w:ilvl="5" w:tentative="0">
      <w:start w:val="0"/>
      <w:numFmt w:val="bullet"/>
      <w:lvlText w:val="•"/>
      <w:lvlJc w:val="left"/>
      <w:pPr>
        <w:ind w:left="4591" w:hanging="420"/>
      </w:pPr>
      <w:rPr>
        <w:rFonts w:hint="default"/>
      </w:rPr>
    </w:lvl>
    <w:lvl w:ilvl="6" w:tentative="0">
      <w:start w:val="0"/>
      <w:numFmt w:val="bullet"/>
      <w:lvlText w:val="•"/>
      <w:lvlJc w:val="left"/>
      <w:pPr>
        <w:ind w:left="5494" w:hanging="420"/>
      </w:pPr>
      <w:rPr>
        <w:rFonts w:hint="default"/>
      </w:rPr>
    </w:lvl>
    <w:lvl w:ilvl="7" w:tentative="0">
      <w:start w:val="0"/>
      <w:numFmt w:val="bullet"/>
      <w:lvlText w:val="•"/>
      <w:lvlJc w:val="left"/>
      <w:pPr>
        <w:ind w:left="6397" w:hanging="420"/>
      </w:pPr>
      <w:rPr>
        <w:rFonts w:hint="default"/>
      </w:rPr>
    </w:lvl>
    <w:lvl w:ilvl="8" w:tentative="0">
      <w:start w:val="0"/>
      <w:numFmt w:val="bullet"/>
      <w:lvlText w:val="•"/>
      <w:lvlJc w:val="left"/>
      <w:pPr>
        <w:ind w:left="7300" w:hanging="420"/>
      </w:pPr>
      <w:rPr>
        <w:rFonts w:hint="default"/>
      </w:rPr>
    </w:lvl>
  </w:abstractNum>
  <w:abstractNum w:abstractNumId="4">
    <w:nsid w:val="0B659D3E"/>
    <w:multiLevelType w:val="singleLevel"/>
    <w:tmpl w:val="0B659D3E"/>
    <w:lvl w:ilvl="0" w:tentative="0">
      <w:start w:val="1"/>
      <w:numFmt w:val="decimal"/>
      <w:lvlText w:val="(%1)"/>
      <w:lvlJc w:val="left"/>
      <w:pPr>
        <w:ind w:left="425" w:hanging="425"/>
      </w:pPr>
      <w:rPr>
        <w:rFonts w:hint="default"/>
      </w:rPr>
    </w:lvl>
  </w:abstractNum>
  <w:abstractNum w:abstractNumId="5">
    <w:nsid w:val="0C715B6B"/>
    <w:multiLevelType w:val="singleLevel"/>
    <w:tmpl w:val="0C715B6B"/>
    <w:lvl w:ilvl="0" w:tentative="0">
      <w:start w:val="1"/>
      <w:numFmt w:val="decimal"/>
      <w:lvlText w:val="(%1)"/>
      <w:lvlJc w:val="left"/>
      <w:pPr>
        <w:ind w:left="425" w:hanging="425"/>
      </w:pPr>
      <w:rPr>
        <w:rFonts w:hint="default"/>
      </w:rPr>
    </w:lvl>
  </w:abstractNum>
  <w:abstractNum w:abstractNumId="6">
    <w:nsid w:val="13862311"/>
    <w:multiLevelType w:val="multilevel"/>
    <w:tmpl w:val="13862311"/>
    <w:lvl w:ilvl="0" w:tentative="0">
      <w:start w:val="1"/>
      <w:numFmt w:val="decimal"/>
      <w:lvlText w:val="%1"/>
      <w:lvlJc w:val="left"/>
      <w:pPr>
        <w:ind w:left="574" w:hanging="425"/>
      </w:pPr>
      <w:rPr>
        <w:rFonts w:hint="default"/>
      </w:rPr>
    </w:lvl>
    <w:lvl w:ilvl="1" w:tentative="0">
      <w:start w:val="0"/>
      <w:numFmt w:val="none"/>
      <w:lvlText w:val=""/>
      <w:lvlJc w:val="left"/>
      <w:pPr>
        <w:tabs>
          <w:tab w:val="left" w:pos="360"/>
        </w:tabs>
      </w:pPr>
    </w:lvl>
    <w:lvl w:ilvl="2" w:tentative="0">
      <w:start w:val="0"/>
      <w:numFmt w:val="bullet"/>
      <w:lvlText w:val="•"/>
      <w:lvlJc w:val="left"/>
      <w:pPr>
        <w:ind w:left="2285" w:hanging="425"/>
      </w:pPr>
      <w:rPr>
        <w:rFonts w:hint="default"/>
      </w:rPr>
    </w:lvl>
    <w:lvl w:ilvl="3" w:tentative="0">
      <w:start w:val="0"/>
      <w:numFmt w:val="bullet"/>
      <w:lvlText w:val="•"/>
      <w:lvlJc w:val="left"/>
      <w:pPr>
        <w:ind w:left="3137" w:hanging="425"/>
      </w:pPr>
      <w:rPr>
        <w:rFonts w:hint="default"/>
      </w:rPr>
    </w:lvl>
    <w:lvl w:ilvl="4" w:tentative="0">
      <w:start w:val="0"/>
      <w:numFmt w:val="bullet"/>
      <w:lvlText w:val="•"/>
      <w:lvlJc w:val="left"/>
      <w:pPr>
        <w:ind w:left="3990" w:hanging="425"/>
      </w:pPr>
      <w:rPr>
        <w:rFonts w:hint="default"/>
      </w:rPr>
    </w:lvl>
    <w:lvl w:ilvl="5" w:tentative="0">
      <w:start w:val="0"/>
      <w:numFmt w:val="bullet"/>
      <w:lvlText w:val="•"/>
      <w:lvlJc w:val="left"/>
      <w:pPr>
        <w:ind w:left="4843" w:hanging="425"/>
      </w:pPr>
      <w:rPr>
        <w:rFonts w:hint="default"/>
      </w:rPr>
    </w:lvl>
    <w:lvl w:ilvl="6" w:tentative="0">
      <w:start w:val="0"/>
      <w:numFmt w:val="bullet"/>
      <w:lvlText w:val="•"/>
      <w:lvlJc w:val="left"/>
      <w:pPr>
        <w:ind w:left="5695" w:hanging="425"/>
      </w:pPr>
      <w:rPr>
        <w:rFonts w:hint="default"/>
      </w:rPr>
    </w:lvl>
    <w:lvl w:ilvl="7" w:tentative="0">
      <w:start w:val="0"/>
      <w:numFmt w:val="bullet"/>
      <w:lvlText w:val="•"/>
      <w:lvlJc w:val="left"/>
      <w:pPr>
        <w:ind w:left="6548" w:hanging="425"/>
      </w:pPr>
      <w:rPr>
        <w:rFonts w:hint="default"/>
      </w:rPr>
    </w:lvl>
    <w:lvl w:ilvl="8" w:tentative="0">
      <w:start w:val="0"/>
      <w:numFmt w:val="bullet"/>
      <w:lvlText w:val="•"/>
      <w:lvlJc w:val="left"/>
      <w:pPr>
        <w:ind w:left="7401" w:hanging="425"/>
      </w:pPr>
      <w:rPr>
        <w:rFonts w:hint="default"/>
      </w:rPr>
    </w:lvl>
  </w:abstractNum>
  <w:abstractNum w:abstractNumId="7">
    <w:nsid w:val="1E123F77"/>
    <w:multiLevelType w:val="multilevel"/>
    <w:tmpl w:val="1E123F77"/>
    <w:lvl w:ilvl="0" w:tentative="0">
      <w:start w:val="1"/>
      <w:numFmt w:val="decimal"/>
      <w:lvlText w:val="%1"/>
      <w:lvlJc w:val="left"/>
      <w:pPr>
        <w:ind w:left="814" w:hanging="665"/>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1"/>
      <w:numFmt w:val="decimal"/>
      <w:lvlText w:val="%4)"/>
      <w:lvlJc w:val="left"/>
      <w:pPr>
        <w:ind w:left="989" w:hanging="420"/>
      </w:pPr>
      <w:rPr>
        <w:rFonts w:hint="default" w:ascii="Times New Roman" w:hAnsi="Times New Roman" w:eastAsia="Times New Roman" w:cs="Times New Roman"/>
        <w:w w:val="99"/>
        <w:sz w:val="24"/>
        <w:szCs w:val="24"/>
      </w:rPr>
    </w:lvl>
    <w:lvl w:ilvl="4" w:tentative="0">
      <w:start w:val="0"/>
      <w:numFmt w:val="bullet"/>
      <w:lvlText w:val="•"/>
      <w:lvlJc w:val="left"/>
      <w:pPr>
        <w:ind w:left="3688" w:hanging="420"/>
      </w:pPr>
      <w:rPr>
        <w:rFonts w:hint="default"/>
      </w:rPr>
    </w:lvl>
    <w:lvl w:ilvl="5" w:tentative="0">
      <w:start w:val="0"/>
      <w:numFmt w:val="bullet"/>
      <w:lvlText w:val="•"/>
      <w:lvlJc w:val="left"/>
      <w:pPr>
        <w:ind w:left="4591" w:hanging="420"/>
      </w:pPr>
      <w:rPr>
        <w:rFonts w:hint="default"/>
      </w:rPr>
    </w:lvl>
    <w:lvl w:ilvl="6" w:tentative="0">
      <w:start w:val="0"/>
      <w:numFmt w:val="bullet"/>
      <w:lvlText w:val="•"/>
      <w:lvlJc w:val="left"/>
      <w:pPr>
        <w:ind w:left="5494" w:hanging="420"/>
      </w:pPr>
      <w:rPr>
        <w:rFonts w:hint="default"/>
      </w:rPr>
    </w:lvl>
    <w:lvl w:ilvl="7" w:tentative="0">
      <w:start w:val="0"/>
      <w:numFmt w:val="bullet"/>
      <w:lvlText w:val="•"/>
      <w:lvlJc w:val="left"/>
      <w:pPr>
        <w:ind w:left="6397" w:hanging="420"/>
      </w:pPr>
      <w:rPr>
        <w:rFonts w:hint="default"/>
      </w:rPr>
    </w:lvl>
    <w:lvl w:ilvl="8" w:tentative="0">
      <w:start w:val="0"/>
      <w:numFmt w:val="bullet"/>
      <w:lvlText w:val="•"/>
      <w:lvlJc w:val="left"/>
      <w:pPr>
        <w:ind w:left="7300" w:hanging="420"/>
      </w:pPr>
      <w:rPr>
        <w:rFonts w:hint="default"/>
      </w:rPr>
    </w:lvl>
  </w:abstractNum>
  <w:abstractNum w:abstractNumId="8">
    <w:nsid w:val="51EC7FCC"/>
    <w:multiLevelType w:val="multilevel"/>
    <w:tmpl w:val="51EC7FCC"/>
    <w:lvl w:ilvl="0" w:tentative="0">
      <w:start w:val="2"/>
      <w:numFmt w:val="decimal"/>
      <w:lvlText w:val="%1"/>
      <w:lvlJc w:val="left"/>
      <w:pPr>
        <w:ind w:left="634" w:hanging="485"/>
      </w:pPr>
      <w:rPr>
        <w:rFonts w:hint="default"/>
      </w:rPr>
    </w:lvl>
    <w:lvl w:ilvl="1" w:tentative="0">
      <w:start w:val="0"/>
      <w:numFmt w:val="none"/>
      <w:lvlText w:val=""/>
      <w:lvlJc w:val="left"/>
      <w:pPr>
        <w:tabs>
          <w:tab w:val="left" w:pos="360"/>
        </w:tabs>
      </w:pPr>
    </w:lvl>
    <w:lvl w:ilvl="2" w:tentative="0">
      <w:start w:val="0"/>
      <w:numFmt w:val="bullet"/>
      <w:lvlText w:val="•"/>
      <w:lvlJc w:val="left"/>
      <w:pPr>
        <w:ind w:left="2317" w:hanging="485"/>
      </w:pPr>
      <w:rPr>
        <w:rFonts w:hint="default"/>
      </w:rPr>
    </w:lvl>
    <w:lvl w:ilvl="3" w:tentative="0">
      <w:start w:val="0"/>
      <w:numFmt w:val="bullet"/>
      <w:lvlText w:val="•"/>
      <w:lvlJc w:val="left"/>
      <w:pPr>
        <w:ind w:left="3155" w:hanging="485"/>
      </w:pPr>
      <w:rPr>
        <w:rFonts w:hint="default"/>
      </w:rPr>
    </w:lvl>
    <w:lvl w:ilvl="4" w:tentative="0">
      <w:start w:val="0"/>
      <w:numFmt w:val="bullet"/>
      <w:lvlText w:val="•"/>
      <w:lvlJc w:val="left"/>
      <w:pPr>
        <w:ind w:left="3994" w:hanging="485"/>
      </w:pPr>
      <w:rPr>
        <w:rFonts w:hint="default"/>
      </w:rPr>
    </w:lvl>
    <w:lvl w:ilvl="5" w:tentative="0">
      <w:start w:val="0"/>
      <w:numFmt w:val="bullet"/>
      <w:lvlText w:val="•"/>
      <w:lvlJc w:val="left"/>
      <w:pPr>
        <w:ind w:left="4833" w:hanging="485"/>
      </w:pPr>
      <w:rPr>
        <w:rFonts w:hint="default"/>
      </w:rPr>
    </w:lvl>
    <w:lvl w:ilvl="6" w:tentative="0">
      <w:start w:val="0"/>
      <w:numFmt w:val="bullet"/>
      <w:lvlText w:val="•"/>
      <w:lvlJc w:val="left"/>
      <w:pPr>
        <w:ind w:left="5671" w:hanging="485"/>
      </w:pPr>
      <w:rPr>
        <w:rFonts w:hint="default"/>
      </w:rPr>
    </w:lvl>
    <w:lvl w:ilvl="7" w:tentative="0">
      <w:start w:val="0"/>
      <w:numFmt w:val="bullet"/>
      <w:lvlText w:val="•"/>
      <w:lvlJc w:val="left"/>
      <w:pPr>
        <w:ind w:left="6510" w:hanging="485"/>
      </w:pPr>
      <w:rPr>
        <w:rFonts w:hint="default"/>
      </w:rPr>
    </w:lvl>
    <w:lvl w:ilvl="8" w:tentative="0">
      <w:start w:val="0"/>
      <w:numFmt w:val="bullet"/>
      <w:lvlText w:val="•"/>
      <w:lvlJc w:val="left"/>
      <w:pPr>
        <w:ind w:left="7349" w:hanging="485"/>
      </w:pPr>
      <w:rPr>
        <w:rFonts w:hint="default"/>
      </w:rPr>
    </w:lvl>
  </w:abstractNum>
  <w:abstractNum w:abstractNumId="9">
    <w:nsid w:val="59FCAC6E"/>
    <w:multiLevelType w:val="singleLevel"/>
    <w:tmpl w:val="59FCAC6E"/>
    <w:lvl w:ilvl="0" w:tentative="0">
      <w:start w:val="1"/>
      <w:numFmt w:val="chineseCounting"/>
      <w:suff w:val="space"/>
      <w:lvlText w:val="第%1部分"/>
      <w:lvlJc w:val="left"/>
      <w:rPr>
        <w:rFonts w:hint="eastAsia"/>
      </w:rPr>
    </w:lvl>
  </w:abstractNum>
  <w:num w:numId="1">
    <w:abstractNumId w:val="9"/>
  </w:num>
  <w:num w:numId="2">
    <w:abstractNumId w:val="3"/>
  </w:num>
  <w:num w:numId="3">
    <w:abstractNumId w:val="4"/>
  </w:num>
  <w:num w:numId="4">
    <w:abstractNumId w:val="2"/>
  </w:num>
  <w:num w:numId="5">
    <w:abstractNumId w:val="7"/>
  </w:num>
  <w:num w:numId="6">
    <w:abstractNumId w:val="5"/>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A5936"/>
    <w:rsid w:val="491A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20" w:lineRule="atLeast"/>
      <w:ind w:firstLine="454"/>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spacing w:after="120" w:afterLines="0" w:line="240" w:lineRule="auto"/>
      <w:ind w:firstLine="0"/>
      <w:textAlignment w:val="auto"/>
    </w:pPr>
    <w:rPr>
      <w:rFonts w:ascii="宋体"/>
    </w:rPr>
  </w:style>
  <w:style w:type="paragraph" w:styleId="3">
    <w:name w:val="Body Text Indent"/>
    <w:basedOn w:val="1"/>
    <w:uiPriority w:val="0"/>
    <w:pPr>
      <w:adjustRightInd/>
      <w:spacing w:after="120" w:afterLines="0" w:line="240" w:lineRule="auto"/>
      <w:ind w:left="420" w:leftChars="200" w:firstLine="0"/>
      <w:textAlignment w:val="auto"/>
    </w:pPr>
    <w:rPr>
      <w:kern w:val="2"/>
      <w:szCs w:val="24"/>
    </w:rPr>
  </w:style>
  <w:style w:type="paragraph" w:styleId="4">
    <w:name w:val="footer"/>
    <w:basedOn w:val="1"/>
    <w:uiPriority w:val="0"/>
    <w:pPr>
      <w:tabs>
        <w:tab w:val="center" w:pos="4153"/>
        <w:tab w:val="right" w:pos="8306"/>
      </w:tabs>
      <w:adjustRightInd/>
      <w:snapToGrid w:val="0"/>
      <w:spacing w:line="240" w:lineRule="auto"/>
      <w:ind w:firstLine="0"/>
      <w:jc w:val="left"/>
      <w:textAlignment w:val="auto"/>
    </w:pPr>
    <w:rPr>
      <w:kern w:val="2"/>
      <w:sz w:val="18"/>
      <w:szCs w:val="18"/>
    </w:rPr>
  </w:style>
  <w:style w:type="paragraph" w:customStyle="1" w:styleId="7">
    <w:name w:val="Heading 1"/>
    <w:basedOn w:val="1"/>
    <w:qFormat/>
    <w:uiPriority w:val="1"/>
    <w:pPr>
      <w:spacing w:before="154"/>
      <w:ind w:left="4"/>
      <w:jc w:val="center"/>
      <w:outlineLvl w:val="1"/>
    </w:pPr>
    <w:rPr>
      <w:b/>
      <w:bCs/>
      <w:sz w:val="32"/>
      <w:szCs w:val="32"/>
    </w:rPr>
  </w:style>
  <w:style w:type="paragraph" w:styleId="8">
    <w:name w:val="List Paragraph"/>
    <w:basedOn w:val="1"/>
    <w:qFormat/>
    <w:uiPriority w:val="1"/>
    <w:pPr>
      <w:ind w:left="149"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GJJ</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2020-10-19T02:12:00Z</dcterms:created>
  <dc:creator>WH</dc:creator>
  <cp:lastModifiedBy>WH</cp:lastModifiedBy>
  <dcterms:modified xsi:type="dcterms:W3CDTF">2020-10-19T02:12:51Z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